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spacing w:val="-11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《先进制造业强市建设</w:t>
      </w:r>
      <w:r>
        <w:rPr>
          <w:rFonts w:hint="eastAsia" w:ascii="仿宋_GB2312" w:hAnsi="仿宋_GB2312" w:eastAsia="仿宋_GB2312" w:cs="仿宋_GB2312"/>
          <w:spacing w:val="-11"/>
          <w:sz w:val="44"/>
          <w:szCs w:val="44"/>
        </w:rPr>
        <w:t>“</w:t>
      </w:r>
      <w:r>
        <w:rPr>
          <w:rFonts w:ascii="Times New Roman" w:hAnsi="Times New Roman" w:eastAsia="方正小标宋简体"/>
          <w:spacing w:val="-11"/>
          <w:sz w:val="44"/>
          <w:szCs w:val="44"/>
        </w:rPr>
        <w:t>4151</w:t>
      </w:r>
      <w:r>
        <w:rPr>
          <w:rFonts w:hint="eastAsia" w:ascii="仿宋_GB2312" w:hAnsi="仿宋_GB2312" w:eastAsia="仿宋_GB2312" w:cs="仿宋_GB2312"/>
          <w:spacing w:val="-11"/>
          <w:sz w:val="44"/>
          <w:szCs w:val="44"/>
        </w:rPr>
        <w:t>”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计划专项政策》政策解读</w:t>
      </w:r>
    </w:p>
    <w:p>
      <w:pPr>
        <w:overflowPunct w:val="0"/>
        <w:adjustRightInd w:val="0"/>
        <w:snapToGrid w:val="0"/>
        <w:spacing w:line="580" w:lineRule="exact"/>
        <w:ind w:firstLine="640" w:firstLineChars="200"/>
        <w:jc w:val="center"/>
        <w:rPr>
          <w:rFonts w:hint="eastAsia" w:ascii="Times New Roman" w:hAnsi="Times New Roman" w:eastAsia="仿宋_GB2312"/>
          <w:snapToGrid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</w:rPr>
        <w:t>一、制定背景</w:t>
      </w:r>
    </w:p>
    <w:p>
      <w:pPr>
        <w:pStyle w:val="2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/>
          <w:b w:val="0"/>
          <w:bCs w:val="0"/>
          <w:color w:val="000000"/>
          <w:sz w:val="32"/>
          <w:szCs w:val="32"/>
        </w:rPr>
        <w:t>党的二十届四中全会提出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“</w:t>
      </w:r>
      <w:r>
        <w:rPr>
          <w:rFonts w:hint="eastAsia" w:ascii="Times New Roman" w:hAnsi="Times New Roman" w:eastAsia="仿宋_GB2312"/>
          <w:b w:val="0"/>
          <w:bCs w:val="0"/>
          <w:color w:val="000000"/>
          <w:sz w:val="32"/>
          <w:szCs w:val="32"/>
        </w:rPr>
        <w:t>建设现代化产业体系，巩固壮大实体经济根基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”</w:t>
      </w:r>
      <w:r>
        <w:rPr>
          <w:rFonts w:hint="eastAsia" w:ascii="Times New Roman" w:hAnsi="Times New Roman" w:eastAsia="仿宋_GB2312"/>
          <w:b w:val="0"/>
          <w:bCs w:val="0"/>
          <w:color w:val="000000"/>
          <w:sz w:val="32"/>
          <w:szCs w:val="32"/>
        </w:rPr>
        <w:t>，明确了加快建设制造强国，保持制造业合理比重等系列重大战略任务；贯彻落实中央重大决策部署和省委贯彻落实要求，市委提出加快建设产城人文融合发展的共富示范市，作出系列部署，特别是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“</w:t>
      </w:r>
      <w:r>
        <w:rPr>
          <w:rFonts w:hint="eastAsia" w:ascii="Times New Roman" w:hAnsi="Times New Roman" w:eastAsia="仿宋_GB2312"/>
          <w:b w:val="0"/>
          <w:bCs w:val="0"/>
          <w:color w:val="000000"/>
          <w:sz w:val="32"/>
          <w:szCs w:val="32"/>
        </w:rPr>
        <w:t>以产为要、科产互促，加快培育产业新业态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”</w:t>
      </w:r>
      <w:r>
        <w:rPr>
          <w:rFonts w:hint="eastAsia" w:ascii="Times New Roman" w:hAnsi="Times New Roman" w:eastAsia="仿宋_GB2312"/>
          <w:b w:val="0"/>
          <w:bCs w:val="0"/>
          <w:color w:val="000000"/>
          <w:sz w:val="32"/>
          <w:szCs w:val="32"/>
        </w:rPr>
        <w:t>方面，为新一轮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“</w:t>
      </w:r>
      <w:r>
        <w:rPr>
          <w:rFonts w:hint="eastAsia" w:ascii="Times New Roman" w:hAnsi="Times New Roman" w:eastAsia="仿宋_GB2312"/>
          <w:b w:val="0"/>
          <w:bCs w:val="0"/>
          <w:color w:val="000000"/>
          <w:sz w:val="32"/>
          <w:szCs w:val="32"/>
        </w:rPr>
        <w:t>4151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”</w:t>
      </w:r>
      <w:r>
        <w:rPr>
          <w:rFonts w:hint="eastAsia" w:ascii="Times New Roman" w:hAnsi="Times New Roman" w:eastAsia="仿宋_GB2312"/>
          <w:b w:val="0"/>
          <w:bCs w:val="0"/>
          <w:color w:val="000000"/>
          <w:sz w:val="32"/>
          <w:szCs w:val="32"/>
        </w:rPr>
        <w:t>专项政策修订提出了新要求。</w:t>
      </w:r>
    </w:p>
    <w:p>
      <w:pPr>
        <w:pStyle w:val="4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580" w:lineRule="exact"/>
        <w:ind w:firstLine="640"/>
        <w:jc w:val="both"/>
        <w:textAlignment w:val="auto"/>
        <w:rPr>
          <w:rFonts w:hint="eastAsia" w:ascii="黑体" w:hAnsi="黑体" w:eastAsia="黑体" w:cs="黑体"/>
          <w:snapToGrid w:val="0"/>
          <w:kern w:val="0"/>
          <w:szCs w:val="32"/>
        </w:rPr>
      </w:pPr>
      <w:r>
        <w:rPr>
          <w:rFonts w:hint="eastAsia" w:ascii="黑体" w:hAnsi="黑体" w:eastAsia="黑体" w:cs="黑体"/>
          <w:snapToGrid w:val="0"/>
          <w:kern w:val="0"/>
          <w:szCs w:val="32"/>
        </w:rPr>
        <w:t>二、制定依据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color w:val="FF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文件制定依据主要有《制造业绿色低碳发展行动方案（2025—2027年）》（国办发〔2025〕21号）《关于印发2025先进制造业集群工作要点的通知》（工信厅规函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〔202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5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〕</w:t>
      </w:r>
      <w:r>
        <w:rPr>
          <w:rFonts w:hint="eastAsia" w:ascii="Times New Roman" w:hAnsi="Times New Roman" w:eastAsia="仿宋_GB2312"/>
          <w:sz w:val="32"/>
          <w:szCs w:val="32"/>
        </w:rPr>
        <w:t>65号）《浙江省人民政府印发关于推动经济高质量发展若干政策（2025年版）的通知》（浙政发〔2025〕3号）《浙江省企业首席数据官制度建设指南（试行）》（浙数办〔2023〕4 号）《绍兴市人民政府关于实施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Times New Roman" w:hAnsi="Times New Roman" w:eastAsia="仿宋_GB2312"/>
          <w:sz w:val="32"/>
          <w:szCs w:val="32"/>
        </w:rPr>
        <w:t>4151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Times New Roman" w:hAnsi="Times New Roman" w:eastAsia="仿宋_GB2312"/>
          <w:sz w:val="32"/>
          <w:szCs w:val="32"/>
        </w:rPr>
        <w:t>计划打造先进制造业强市的意见》（绍政发〔2022〕17号）《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绍兴市人民政府办公室关于印发先进制造业强市建设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“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4151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”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计划专项政策等五个政策的通知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》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（绍政办发〔202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5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〕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3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号）</w:t>
      </w:r>
      <w:r>
        <w:rPr>
          <w:rFonts w:hint="eastAsia" w:ascii="Times New Roman" w:hAnsi="Times New Roman" w:eastAsia="仿宋_GB2312"/>
          <w:sz w:val="32"/>
          <w:szCs w:val="32"/>
        </w:rPr>
        <w:t>《绍兴市中小企业数字化转型城市试点专项资金管理办法》</w:t>
      </w:r>
      <w:r>
        <w:rPr>
          <w:rFonts w:ascii="Times New Roman" w:hAnsi="Times New Roman" w:eastAsia="仿宋_GB2312"/>
          <w:sz w:val="32"/>
          <w:szCs w:val="32"/>
        </w:rPr>
        <w:t>等政策文件。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</w:p>
    <w:p>
      <w:pPr>
        <w:pStyle w:val="4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580" w:lineRule="exact"/>
        <w:ind w:firstLine="640"/>
        <w:jc w:val="both"/>
        <w:textAlignment w:val="auto"/>
        <w:rPr>
          <w:rFonts w:ascii="黑体" w:hAnsi="黑体" w:eastAsia="黑体" w:cs="黑体"/>
          <w:snapToGrid w:val="0"/>
          <w:kern w:val="0"/>
          <w:szCs w:val="32"/>
        </w:rPr>
      </w:pPr>
      <w:r>
        <w:rPr>
          <w:rFonts w:hint="eastAsia" w:ascii="黑体" w:hAnsi="黑体" w:eastAsia="黑体" w:cs="黑体"/>
          <w:snapToGrid w:val="0"/>
          <w:kern w:val="0"/>
          <w:szCs w:val="32"/>
        </w:rPr>
        <w:t>三、修订主要内容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6</w:t>
      </w:r>
      <w:r>
        <w:rPr>
          <w:rFonts w:ascii="Times New Roman" w:hAnsi="Times New Roman" w:eastAsia="仿宋_GB2312"/>
          <w:color w:val="000000"/>
          <w:sz w:val="32"/>
          <w:szCs w:val="32"/>
        </w:rPr>
        <w:t>年版政策共7部分、27项条款、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97</w:t>
      </w:r>
      <w:r>
        <w:rPr>
          <w:rFonts w:ascii="Times New Roman" w:hAnsi="Times New Roman" w:eastAsia="仿宋_GB2312"/>
          <w:color w:val="000000"/>
          <w:sz w:val="32"/>
          <w:szCs w:val="32"/>
        </w:rPr>
        <w:t>个事项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；具体调整</w:t>
      </w:r>
      <w:r>
        <w:rPr>
          <w:rFonts w:ascii="Times New Roman" w:hAnsi="Times New Roman" w:eastAsia="仿宋_GB2312"/>
          <w:color w:val="000000"/>
          <w:sz w:val="32"/>
          <w:szCs w:val="32"/>
        </w:rPr>
        <w:t>涉及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56</w:t>
      </w:r>
      <w:r>
        <w:rPr>
          <w:rFonts w:ascii="Times New Roman" w:hAnsi="Times New Roman" w:eastAsia="仿宋_GB2312"/>
          <w:color w:val="000000"/>
          <w:sz w:val="32"/>
          <w:szCs w:val="32"/>
        </w:rPr>
        <w:t>个事项，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其中，</w:t>
      </w:r>
      <w:r>
        <w:rPr>
          <w:rFonts w:ascii="Times New Roman" w:hAnsi="Times New Roman" w:eastAsia="仿宋_GB2312"/>
          <w:color w:val="000000"/>
          <w:sz w:val="32"/>
          <w:szCs w:val="32"/>
        </w:rPr>
        <w:t>新增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14</w:t>
      </w:r>
      <w:r>
        <w:rPr>
          <w:rFonts w:ascii="Times New Roman" w:hAnsi="Times New Roman" w:eastAsia="仿宋_GB2312"/>
          <w:color w:val="000000"/>
          <w:sz w:val="32"/>
          <w:szCs w:val="32"/>
        </w:rPr>
        <w:t>条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，</w:t>
      </w:r>
      <w:r>
        <w:rPr>
          <w:rFonts w:ascii="Times New Roman" w:hAnsi="Times New Roman" w:eastAsia="仿宋_GB2312"/>
          <w:color w:val="000000"/>
          <w:sz w:val="32"/>
          <w:szCs w:val="32"/>
        </w:rPr>
        <w:t>删除1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5</w:t>
      </w:r>
      <w:r>
        <w:rPr>
          <w:rFonts w:ascii="Times New Roman" w:hAnsi="Times New Roman" w:eastAsia="仿宋_GB2312"/>
          <w:color w:val="000000"/>
          <w:sz w:val="32"/>
          <w:szCs w:val="32"/>
        </w:rPr>
        <w:t>条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，</w:t>
      </w:r>
      <w:r>
        <w:rPr>
          <w:rFonts w:ascii="Times New Roman" w:hAnsi="Times New Roman" w:eastAsia="仿宋_GB2312"/>
          <w:color w:val="000000"/>
          <w:sz w:val="32"/>
          <w:szCs w:val="32"/>
        </w:rPr>
        <w:t>调整2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6</w:t>
      </w:r>
      <w:r>
        <w:rPr>
          <w:rFonts w:ascii="Times New Roman" w:hAnsi="Times New Roman" w:eastAsia="仿宋_GB2312"/>
          <w:color w:val="000000"/>
          <w:sz w:val="32"/>
          <w:szCs w:val="32"/>
        </w:rPr>
        <w:t>条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</w:rPr>
        <w:t>主要修订内容如下：</w:t>
      </w:r>
      <w:r>
        <w:rPr>
          <w:rFonts w:ascii="Times New Roman" w:hAnsi="Times New Roman" w:eastAsia="仿宋_GB2312"/>
          <w:color w:val="000000"/>
          <w:sz w:val="32"/>
          <w:szCs w:val="32"/>
        </w:rPr>
        <w:t>一是聚焦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“</w:t>
      </w:r>
      <w:r>
        <w:rPr>
          <w:rFonts w:ascii="Times New Roman" w:hAnsi="Times New Roman" w:eastAsia="仿宋_GB2312"/>
          <w:color w:val="000000"/>
          <w:sz w:val="32"/>
          <w:szCs w:val="32"/>
        </w:rPr>
        <w:t>2832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”</w:t>
      </w:r>
      <w:r>
        <w:rPr>
          <w:rFonts w:ascii="Times New Roman" w:hAnsi="Times New Roman" w:eastAsia="仿宋_GB2312"/>
          <w:color w:val="000000"/>
          <w:sz w:val="32"/>
          <w:szCs w:val="32"/>
        </w:rPr>
        <w:t>先进制造产业体系建设，推动因地制宜发展新质生产力。二是聚焦新型工业化，推动发展方式智能化、绿色化、融合化。三是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聚焦企业梯队建设，突出专精特新支撑。</w:t>
      </w:r>
    </w:p>
    <w:p>
      <w:pPr>
        <w:pStyle w:val="19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napToGrid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sz w:val="32"/>
          <w:szCs w:val="32"/>
        </w:rPr>
        <w:t>四、适用范围</w:t>
      </w:r>
    </w:p>
    <w:p>
      <w:pPr>
        <w:pStyle w:val="19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eastAsia="仿宋_GB2312" w:cs="仿宋_GB2312"/>
          <w:sz w:val="32"/>
          <w:szCs w:val="32"/>
          <w:lang w:bidi="ar"/>
        </w:rPr>
        <w:t>本政策适用全市范围内的制造业企业、社会组织和机构（不包括房地产、金融、通信、电力、石化、烟草等六大行业内的国有企业，本政策条款有明确规定除外），台资、外资企业享受同等待遇。</w:t>
      </w:r>
    </w:p>
    <w:p>
      <w:pPr>
        <w:pStyle w:val="19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ascii="黑体" w:hAnsi="黑体" w:eastAsia="黑体" w:cs="黑体"/>
          <w:snapToGrid w:val="0"/>
          <w:sz w:val="32"/>
          <w:szCs w:val="32"/>
        </w:rPr>
      </w:pPr>
      <w:r>
        <w:rPr>
          <w:rFonts w:ascii="黑体" w:hAnsi="黑体" w:eastAsia="黑体" w:cs="黑体"/>
          <w:snapToGrid w:val="0"/>
          <w:sz w:val="32"/>
          <w:szCs w:val="32"/>
        </w:rPr>
        <w:t>五、执行期限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/>
          <w:snapToGrid w:val="0"/>
          <w:color w:val="000000"/>
          <w:kern w:val="0"/>
          <w:sz w:val="32"/>
          <w:szCs w:val="32"/>
        </w:rPr>
        <w:t>本政策中各类奖补的执行期限为202</w:t>
      </w:r>
      <w:r>
        <w:rPr>
          <w:rFonts w:hint="eastAsia" w:ascii="Times New Roman" w:hAnsi="Times New Roman" w:eastAsia="仿宋_GB2312"/>
          <w:snapToGrid w:val="0"/>
          <w:color w:val="000000"/>
          <w:kern w:val="0"/>
          <w:sz w:val="32"/>
          <w:szCs w:val="32"/>
        </w:rPr>
        <w:t>6</w:t>
      </w:r>
      <w:r>
        <w:rPr>
          <w:rFonts w:ascii="Times New Roman" w:hAnsi="Times New Roman" w:eastAsia="仿宋_GB2312"/>
          <w:snapToGrid w:val="0"/>
          <w:color w:val="000000"/>
          <w:kern w:val="0"/>
          <w:sz w:val="32"/>
          <w:szCs w:val="32"/>
        </w:rPr>
        <w:t>年1月1日至202</w:t>
      </w:r>
      <w:r>
        <w:rPr>
          <w:rFonts w:hint="eastAsia" w:ascii="Times New Roman" w:hAnsi="Times New Roman" w:eastAsia="仿宋_GB2312"/>
          <w:snapToGrid w:val="0"/>
          <w:color w:val="000000"/>
          <w:kern w:val="0"/>
          <w:sz w:val="32"/>
          <w:szCs w:val="32"/>
        </w:rPr>
        <w:t>7</w:t>
      </w:r>
      <w:r>
        <w:rPr>
          <w:rFonts w:ascii="Times New Roman" w:hAnsi="Times New Roman" w:eastAsia="仿宋_GB2312"/>
          <w:snapToGrid w:val="0"/>
          <w:color w:val="000000"/>
          <w:kern w:val="0"/>
          <w:sz w:val="32"/>
          <w:szCs w:val="32"/>
        </w:rPr>
        <w:t>年12月31日（原有补贴政策尚未执行完毕的除外），</w:t>
      </w:r>
      <w:r>
        <w:rPr>
          <w:rFonts w:hint="eastAsia" w:ascii="Times New Roman" w:hAnsi="Times New Roman" w:eastAsia="仿宋_GB2312"/>
          <w:snapToGrid w:val="0"/>
          <w:color w:val="000000"/>
          <w:kern w:val="0"/>
          <w:sz w:val="32"/>
          <w:szCs w:val="32"/>
        </w:rPr>
        <w:t>政策在执行有效期内修订的，按新修订政策为准，</w:t>
      </w:r>
      <w:r>
        <w:rPr>
          <w:rFonts w:ascii="Times New Roman" w:hAnsi="Times New Roman" w:eastAsia="仿宋_GB2312"/>
          <w:snapToGrid w:val="0"/>
          <w:color w:val="000000"/>
          <w:kern w:val="0"/>
          <w:sz w:val="32"/>
          <w:szCs w:val="32"/>
        </w:rPr>
        <w:t>实施细则另行制定，具体由市经信局会同市财政局实施。</w:t>
      </w:r>
    </w:p>
    <w:p>
      <w:pPr>
        <w:pStyle w:val="19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napToGrid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sz w:val="32"/>
          <w:szCs w:val="32"/>
        </w:rPr>
        <w:t>六、解读机关、解读人及联系方式</w:t>
      </w:r>
    </w:p>
    <w:p>
      <w:pPr>
        <w:pStyle w:val="19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eastAsia="仿宋_GB2312"/>
          <w:snapToGrid w:val="0"/>
          <w:sz w:val="32"/>
          <w:szCs w:val="32"/>
        </w:rPr>
      </w:pPr>
      <w:r>
        <w:rPr>
          <w:rFonts w:hint="eastAsia" w:eastAsia="仿宋_GB2312"/>
          <w:snapToGrid w:val="0"/>
          <w:sz w:val="32"/>
          <w:szCs w:val="32"/>
        </w:rPr>
        <w:t>解读机关：绍兴市经济和信息化局</w:t>
      </w:r>
    </w:p>
    <w:p>
      <w:pPr>
        <w:pStyle w:val="19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eastAsia="仿宋_GB2312"/>
          <w:snapToGrid w:val="0"/>
          <w:sz w:val="32"/>
          <w:szCs w:val="32"/>
        </w:rPr>
      </w:pPr>
      <w:r>
        <w:rPr>
          <w:rFonts w:hint="eastAsia" w:eastAsia="仿宋_GB2312"/>
          <w:snapToGrid w:val="0"/>
          <w:sz w:val="32"/>
          <w:szCs w:val="32"/>
        </w:rPr>
        <w:t>解读人：张永明、陈诚</w:t>
      </w:r>
    </w:p>
    <w:p>
      <w:pPr>
        <w:pStyle w:val="19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eastAsia="仿宋_GB2312"/>
          <w:snapToGrid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eastAsia="仿宋_GB2312"/>
          <w:snapToGrid w:val="0"/>
          <w:sz w:val="32"/>
          <w:szCs w:val="32"/>
        </w:rPr>
        <w:t>联系电话：85158854</w:t>
      </w:r>
    </w:p>
    <w:p>
      <w:pPr>
        <w:snapToGrid w:val="0"/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《加快现代服务业高质量发展若干政策》</w:t>
      </w:r>
    </w:p>
    <w:p>
      <w:pPr>
        <w:pStyle w:val="19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政策解读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一、制定背景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为深入贯彻党的二十届四中全会精神，落实省、市服务业高质量发展会议部署要求，进一步提升服务业高质量发展政策精准度有效性，推动服务业高质量发展。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二、制定依据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文件制定依据主要有《浙江省服务业高质量发展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 xml:space="preserve"> 百千万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 xml:space="preserve"> 工程实施方案（2023—2027年）》《绍兴市加快生产性服务业发展三年行动计划（2024—2026年）》等。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三、主要内容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2026年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加快现代服务业高质量发展若干政策，主要内容包括推动生产性服务业高端化发展、促进生活性服务业品质化发展、加快新兴服务业特色化发展、支持商贸服务业品牌化发展、鼓励金融服务业多元化发展、聚焦服务质效推动规模化发展、附则七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1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kern w:val="0"/>
          <w:sz w:val="32"/>
          <w:szCs w:val="32"/>
        </w:rPr>
        <w:t>推动生产性服务业高端化发展部分，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主要包括培育壮大生产性服务业企业、加强生产性服务业平台建设、支持生产性服务业人才引育、降低全社会物流成本、推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动运输结构</w:t>
      </w:r>
      <w:r>
        <w:rPr>
          <w:rFonts w:hint="eastAsia" w:ascii="仿宋_GB2312" w:hAnsi="仿宋_GB2312" w:eastAsia="仿宋_GB2312" w:cs="仿宋_GB2312"/>
          <w:sz w:val="32"/>
          <w:szCs w:val="32"/>
        </w:rPr>
        <w:t>优化调整、提高检验检测服务能力等内容。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1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z w:val="32"/>
          <w:szCs w:val="32"/>
        </w:rPr>
        <w:t>促进生活性服务业品质化发展部分，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包括提升旅游景区质量、加快发展研学旅游、励过夜旅游及大型团队、支持旅行社创强、创星、创收、积极引进培育旅游人才、扶持文创旅游商品开发、支持住宿餐饮评星、创优、创收、大力发展“旅游+”“+旅游”和夜间文旅消费、加大体育产业项目投资与行业主体培育力度、推广举办重大体育赛事、提优物业服务品质等内容。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1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z w:val="32"/>
          <w:szCs w:val="32"/>
        </w:rPr>
        <w:t>加快新兴服务业特色化发展部分，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包括培育壮大电子商务市场主体、推进电子商务示范创建、鼓励电子商务创新服务发展、提升会展产业能级、推进展会招强育优、加快发展数字广告业、推进人力资源服务集聚发展、培育人力资源服务品牌项目、激励人力资源服务机构招才引智等内容。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1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z w:val="32"/>
          <w:szCs w:val="32"/>
        </w:rPr>
        <w:t>支持商贸服务业品牌化发展部分，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主要包括完善县域商业体系建设、激活多元消费业态、支撑重点消费平台建设、引导商贸企业连锁经营等内容。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1" w:firstLineChars="200"/>
        <w:textAlignment w:val="auto"/>
        <w:rPr>
          <w:rFonts w:hint="eastAsia" w:ascii="仿宋_GB2312" w:hAnsi="仿宋_GB2312" w:eastAsia="仿宋_GB2312" w:cs="仿宋_GB2312"/>
          <w:b/>
          <w:bCs/>
          <w:snapToGrid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z w:val="32"/>
          <w:szCs w:val="32"/>
        </w:rPr>
        <w:t>鼓励金融服务业多元化发展部分，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主要包括加快政策性金融工具投放、支持融资租赁发展、提升融资担保服务质效、拓展直接融资渠道、支持企业并购重组等内容。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1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z w:val="32"/>
          <w:szCs w:val="32"/>
        </w:rPr>
        <w:t>聚焦服务质效推动规模化发展部分，</w:t>
      </w:r>
      <w:r>
        <w:rPr>
          <w:rFonts w:hint="eastAsia" w:ascii="仿宋_GB2312" w:hAnsi="仿宋_GB2312" w:eastAsia="仿宋_GB2312" w:cs="仿宋_GB2312"/>
          <w:sz w:val="32"/>
          <w:szCs w:val="32"/>
        </w:rPr>
        <w:t>鼓励企业规模化发展、助力服务业企业做大做强、全力扶持服务业领军企业、加快服务业项目建设、支持服务业示范创建、加强企业先进标准建设、强化品牌质量建设等内容。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1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附则</w:t>
      </w:r>
      <w:r>
        <w:rPr>
          <w:rFonts w:hint="eastAsia" w:ascii="仿宋_GB2312" w:hAnsi="仿宋_GB2312" w:eastAsia="仿宋_GB2312" w:cs="仿宋_GB2312"/>
          <w:sz w:val="32"/>
          <w:szCs w:val="32"/>
        </w:rPr>
        <w:t>部分，对政策执行时间、适用范围、审核部门及资金保障等内容作进一步明确。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四、适用范围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政策执行期限为2026年1月1日至2027年12月31日，适用范围为在本市行政区域范围内。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/>
        <w:textAlignment w:val="auto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五、解读机关、解读人及联系方式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解读机关：绍兴市发展和改革委员会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解读人：金毅、李建华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ascii="Times New Roman" w:hAnsi="Times New Roman" w:eastAsia="楷体_GB2312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联系电话：</w:t>
      </w:r>
      <w:r>
        <w:rPr>
          <w:rFonts w:ascii="Times New Roman" w:hAnsi="Times New Roman" w:eastAsia="仿宋_GB2312"/>
          <w:bCs/>
          <w:spacing w:val="-4"/>
          <w:sz w:val="32"/>
          <w:szCs w:val="32"/>
        </w:rPr>
        <w:t>0575-85202277</w:t>
      </w:r>
    </w:p>
    <w:p>
      <w:pPr>
        <w:pStyle w:val="19"/>
        <w:ind w:firstLine="640" w:firstLineChars="200"/>
        <w:rPr>
          <w:rFonts w:eastAsia="仿宋_GB2312"/>
          <w:sz w:val="32"/>
          <w:szCs w:val="32"/>
        </w:rPr>
      </w:pPr>
    </w:p>
    <w:p>
      <w:pPr>
        <w:pStyle w:val="19"/>
        <w:ind w:firstLine="643"/>
        <w:rPr>
          <w:b/>
          <w:bCs/>
          <w:snapToGrid w:val="0"/>
          <w:color w:val="00000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绍兴市促进建筑业高质量发展若干政策</w:t>
      </w:r>
      <w:r>
        <w:rPr>
          <w:rFonts w:hint="eastAsia" w:ascii="方正小标宋简体" w:eastAsia="方正小标宋简体"/>
          <w:sz w:val="44"/>
          <w:szCs w:val="44"/>
        </w:rPr>
        <w:t>》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政策解读</w:t>
      </w:r>
    </w:p>
    <w:p>
      <w:pPr>
        <w:spacing w:line="560" w:lineRule="exact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一、制定背景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建筑业是我市支柱产业、富民产业之一。202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5</w:t>
      </w:r>
      <w:r>
        <w:rPr>
          <w:rFonts w:ascii="Times New Roman" w:hAnsi="Times New Roman" w:eastAsia="仿宋_GB2312"/>
          <w:kern w:val="0"/>
          <w:sz w:val="32"/>
          <w:szCs w:val="32"/>
        </w:rPr>
        <w:t>年</w:t>
      </w:r>
      <w:r>
        <w:rPr>
          <w:rFonts w:hint="eastAsia" w:eastAsia="仿宋_GB2312"/>
          <w:kern w:val="0"/>
          <w:sz w:val="32"/>
          <w:szCs w:val="32"/>
        </w:rPr>
        <w:t>前三季度</w:t>
      </w:r>
      <w:r>
        <w:rPr>
          <w:rFonts w:ascii="Times New Roman" w:hAnsi="Times New Roman" w:eastAsia="仿宋_GB2312"/>
          <w:kern w:val="0"/>
          <w:sz w:val="32"/>
          <w:szCs w:val="32"/>
        </w:rPr>
        <w:t>全市建筑业产值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3530</w:t>
      </w:r>
      <w:r>
        <w:rPr>
          <w:rFonts w:ascii="Times New Roman" w:hAnsi="Times New Roman" w:eastAsia="仿宋_GB2312"/>
          <w:kern w:val="0"/>
          <w:sz w:val="32"/>
          <w:szCs w:val="32"/>
        </w:rPr>
        <w:t>亿元，特级企业数量2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3</w:t>
      </w:r>
      <w:r>
        <w:rPr>
          <w:rFonts w:ascii="Times New Roman" w:hAnsi="Times New Roman" w:eastAsia="仿宋_GB2312"/>
          <w:kern w:val="0"/>
          <w:sz w:val="32"/>
          <w:szCs w:val="32"/>
        </w:rPr>
        <w:t>家，均居全国前列。近几年，建筑业增加值占GDP比重及建筑业税收占全部税收比例均保持在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7%以</w:t>
      </w:r>
      <w:r>
        <w:rPr>
          <w:rFonts w:hint="eastAsia" w:eastAsia="仿宋_GB2312"/>
          <w:kern w:val="0"/>
          <w:sz w:val="32"/>
          <w:szCs w:val="32"/>
        </w:rPr>
        <w:t>上</w:t>
      </w:r>
      <w:r>
        <w:rPr>
          <w:rFonts w:ascii="Times New Roman" w:hAnsi="Times New Roman" w:eastAsia="仿宋_GB2312"/>
          <w:kern w:val="0"/>
          <w:sz w:val="32"/>
          <w:szCs w:val="32"/>
        </w:rPr>
        <w:t>，在全国各地打造了一大批精品建筑，树立了绍兴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“</w:t>
      </w:r>
      <w:r>
        <w:rPr>
          <w:rFonts w:ascii="Times New Roman" w:hAnsi="Times New Roman" w:eastAsia="仿宋_GB2312"/>
          <w:kern w:val="0"/>
          <w:sz w:val="32"/>
          <w:szCs w:val="32"/>
        </w:rPr>
        <w:t>建筑强市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”</w:t>
      </w:r>
      <w:r>
        <w:rPr>
          <w:rFonts w:ascii="Times New Roman" w:hAnsi="Times New Roman" w:eastAsia="仿宋_GB2312"/>
          <w:kern w:val="0"/>
          <w:sz w:val="32"/>
          <w:szCs w:val="32"/>
        </w:rPr>
        <w:t>品牌。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为深入贯彻党的二十届三中全会精神，落实省、市建筑业高质量发展有关要求，</w:t>
      </w:r>
      <w:r>
        <w:rPr>
          <w:rFonts w:ascii="Times New Roman" w:hAnsi="Times New Roman" w:eastAsia="仿宋_GB2312"/>
          <w:kern w:val="0"/>
          <w:sz w:val="32"/>
          <w:szCs w:val="32"/>
        </w:rPr>
        <w:t>加快推进建筑产业转型升级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，加强建筑业企业培育，优化建筑产业结构，促进建筑业高质量发展。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宋体" w:eastAsia="黑体" w:cs="黑体"/>
          <w:sz w:val="32"/>
          <w:szCs w:val="32"/>
        </w:rPr>
        <w:t>制定依据</w:t>
      </w:r>
    </w:p>
    <w:p>
      <w:pPr>
        <w:keepNext w:val="0"/>
        <w:keepLines w:val="0"/>
        <w:pageBreakBefore w:val="0"/>
        <w:tabs>
          <w:tab w:val="left" w:pos="1920"/>
        </w:tabs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浙江省人民政府办公厅关于加快推进建筑业高质量发展的若干意见</w:t>
      </w:r>
      <w:r>
        <w:rPr>
          <w:rFonts w:ascii="Times New Roman" w:hAnsi="Times New Roman" w:eastAsia="仿宋_GB2312"/>
          <w:sz w:val="32"/>
          <w:szCs w:val="32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浙政办</w:t>
      </w:r>
      <w:r>
        <w:rPr>
          <w:rFonts w:ascii="Times New Roman" w:hAnsi="Times New Roman" w:eastAsia="仿宋_GB2312"/>
          <w:sz w:val="32"/>
          <w:szCs w:val="32"/>
        </w:rPr>
        <w:t>发〔20</w:t>
      </w:r>
      <w:r>
        <w:rPr>
          <w:rFonts w:hint="eastAsia" w:ascii="Times New Roman" w:hAnsi="Times New Roman" w:eastAsia="仿宋_GB2312"/>
          <w:sz w:val="32"/>
          <w:szCs w:val="32"/>
        </w:rPr>
        <w:t>25</w:t>
      </w:r>
      <w:r>
        <w:rPr>
          <w:rFonts w:ascii="Times New Roman" w:hAnsi="Times New Roman" w:eastAsia="仿宋_GB2312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</w:rPr>
        <w:t>22</w:t>
      </w:r>
      <w:r>
        <w:rPr>
          <w:rFonts w:ascii="Times New Roman" w:hAnsi="Times New Roman" w:eastAsia="仿宋_GB2312"/>
          <w:sz w:val="32"/>
          <w:szCs w:val="32"/>
        </w:rPr>
        <w:t>号）</w:t>
      </w: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</w:rPr>
        <w:t>《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绍兴市人民政府办公室关于印发先进制造业强市建设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“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4151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”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计划专项政策等五个政策的通知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》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（绍政办发〔202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5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〕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3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号）</w:t>
      </w:r>
      <w:r>
        <w:rPr>
          <w:rFonts w:hint="eastAsia" w:ascii="Times New Roman" w:hAnsi="Times New Roman" w:eastAsia="仿宋_GB2312"/>
          <w:sz w:val="32"/>
          <w:szCs w:val="32"/>
        </w:rPr>
        <w:t>《浙江省人民政府办公厅关于进一步支持建筑业做优做强的若干意见》（浙政办发〔2022〕47号）</w:t>
      </w:r>
      <w:r>
        <w:rPr>
          <w:rFonts w:ascii="Times New Roman" w:hAnsi="Times New Roman" w:eastAsia="仿宋_GB2312"/>
          <w:color w:val="000000"/>
          <w:sz w:val="32"/>
          <w:szCs w:val="32"/>
        </w:rPr>
        <w:t>等政策文件。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firstLine="640"/>
        <w:jc w:val="both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三、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主要内容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《若干政策》重点</w:t>
      </w:r>
      <w:r>
        <w:rPr>
          <w:rFonts w:hint="eastAsia" w:ascii="Times New Roman" w:hAnsi="Times New Roman" w:eastAsia="仿宋_GB2312"/>
          <w:sz w:val="32"/>
          <w:szCs w:val="32"/>
        </w:rPr>
        <w:t>围绕规范实施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Times New Roman" w:hAnsi="Times New Roman" w:eastAsia="仿宋_GB2312"/>
          <w:sz w:val="32"/>
          <w:szCs w:val="32"/>
        </w:rPr>
        <w:t>评定分离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Times New Roman" w:hAnsi="Times New Roman" w:eastAsia="仿宋_GB2312"/>
          <w:sz w:val="32"/>
          <w:szCs w:val="32"/>
        </w:rPr>
        <w:t>、建筑业产业链拓展、发展建筑领域人工智能、发展新型建筑工业化和推动好房子建设等方面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进行系统优化，内容分八部分，涉及扶持</w:t>
      </w:r>
      <w:r>
        <w:rPr>
          <w:rFonts w:hint="eastAsia" w:ascii="Times New Roman" w:hAnsi="Times New Roman" w:eastAsia="仿宋_GB2312" w:cs="仿宋_GB2312"/>
          <w:sz w:val="32"/>
          <w:szCs w:val="32"/>
        </w:rPr>
        <w:t>条款24条，新增3条、删除3条、调整14条</w:t>
      </w:r>
      <w:r>
        <w:rPr>
          <w:rFonts w:hint="eastAsia" w:eastAsia="仿宋_GB2312"/>
          <w:sz w:val="32"/>
          <w:szCs w:val="32"/>
        </w:rPr>
        <w:t>。主要内容如下：</w:t>
      </w:r>
      <w:r>
        <w:rPr>
          <w:rFonts w:hint="eastAsia" w:eastAsia="仿宋_GB2312" w:cs="仿宋_GB2312"/>
          <w:b/>
          <w:bCs/>
          <w:sz w:val="32"/>
          <w:szCs w:val="32"/>
        </w:rPr>
        <w:t>一是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优化建筑业营商环境。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主要有优化</w:t>
      </w:r>
      <w:r>
        <w:rPr>
          <w:rFonts w:hint="eastAsia" w:eastAsia="仿宋_GB2312" w:cs="仿宋_GB2312"/>
          <w:sz w:val="32"/>
          <w:szCs w:val="32"/>
        </w:rPr>
        <w:t>房建市政建设</w:t>
      </w:r>
      <w:r>
        <w:rPr>
          <w:rFonts w:hint="eastAsia" w:ascii="Times New Roman" w:hAnsi="Times New Roman" w:eastAsia="仿宋_GB2312" w:cs="仿宋_GB2312"/>
          <w:sz w:val="32"/>
          <w:szCs w:val="32"/>
        </w:rPr>
        <w:t>工程招投标方式、支持企业参与重大基础设施项目建设2方面。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二</w:t>
      </w:r>
      <w:r>
        <w:rPr>
          <w:rFonts w:hint="eastAsia" w:eastAsia="仿宋_GB2312" w:cs="仿宋_GB2312"/>
          <w:b/>
          <w:bCs/>
          <w:sz w:val="32"/>
          <w:szCs w:val="32"/>
        </w:rPr>
        <w:t>是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支持企业做大做强。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主要有支持企业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走出去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拓展省外境外市场、支持企业图强争先、加强金融支持力度3方面。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三</w:t>
      </w:r>
      <w:r>
        <w:rPr>
          <w:rFonts w:hint="eastAsia" w:eastAsia="仿宋_GB2312" w:cs="仿宋_GB2312"/>
          <w:b/>
          <w:bCs/>
          <w:sz w:val="32"/>
          <w:szCs w:val="32"/>
        </w:rPr>
        <w:t>是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支持企业品牌建设。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主要有加强创优夺杯、提升质量管理、提高设计能力、加强施工管理4方面。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四</w:t>
      </w:r>
      <w:r>
        <w:rPr>
          <w:rFonts w:hint="eastAsia" w:eastAsia="仿宋_GB2312" w:cs="仿宋_GB2312"/>
          <w:b/>
          <w:bCs/>
          <w:sz w:val="32"/>
          <w:szCs w:val="32"/>
        </w:rPr>
        <w:t>是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调优建筑企业结构。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主要有加强龙头企业培育、加大</w:t>
      </w:r>
      <w:r>
        <w:rPr>
          <w:rFonts w:hint="eastAsia" w:eastAsia="仿宋_GB2312" w:cs="仿宋_GB2312"/>
          <w:sz w:val="32"/>
          <w:szCs w:val="32"/>
        </w:rPr>
        <w:t>稀缺资质</w:t>
      </w:r>
      <w:r>
        <w:rPr>
          <w:rFonts w:hint="eastAsia" w:ascii="Times New Roman" w:hAnsi="Times New Roman" w:eastAsia="仿宋_GB2312" w:cs="仿宋_GB2312"/>
          <w:sz w:val="32"/>
          <w:szCs w:val="32"/>
        </w:rPr>
        <w:t>企业引育、推动中小企业转型发展3方面。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五</w:t>
      </w:r>
      <w:r>
        <w:rPr>
          <w:rFonts w:hint="eastAsia" w:eastAsia="仿宋_GB2312" w:cs="仿宋_GB2312"/>
          <w:b/>
          <w:bCs/>
          <w:sz w:val="32"/>
          <w:szCs w:val="32"/>
        </w:rPr>
        <w:t>是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拓展建筑全产业链。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主要有培育建筑业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链主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企业，培育勘察、设计、监理，智能建造、绿色建材</w:t>
      </w:r>
      <w:r>
        <w:rPr>
          <w:rFonts w:hint="eastAsia" w:eastAsia="仿宋_GB2312" w:cs="仿宋_GB2312"/>
          <w:sz w:val="32"/>
          <w:szCs w:val="32"/>
        </w:rPr>
        <w:t>、推动建筑业领域人工智能发展</w:t>
      </w:r>
      <w:r>
        <w:rPr>
          <w:rFonts w:hint="eastAsia" w:ascii="Times New Roman" w:hAnsi="Times New Roman" w:eastAsia="仿宋_GB2312" w:cs="仿宋_GB2312"/>
          <w:sz w:val="32"/>
          <w:szCs w:val="32"/>
        </w:rPr>
        <w:t>4方面。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六</w:t>
      </w:r>
      <w:r>
        <w:rPr>
          <w:rFonts w:hint="eastAsia" w:eastAsia="仿宋_GB2312" w:cs="仿宋_GB2312"/>
          <w:b/>
          <w:bCs/>
          <w:sz w:val="32"/>
          <w:szCs w:val="32"/>
        </w:rPr>
        <w:t>是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提升建筑业科技创新能力。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主要有加强企业技术中心建设、加强企业技术标准研发2方面。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七</w:t>
      </w:r>
      <w:r>
        <w:rPr>
          <w:rFonts w:hint="eastAsia" w:eastAsia="仿宋_GB2312" w:cs="仿宋_GB2312"/>
          <w:b/>
          <w:bCs/>
          <w:sz w:val="32"/>
          <w:szCs w:val="32"/>
        </w:rPr>
        <w:t>是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推广新型建造方式。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主要有推动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好房子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建设、推广装配化装修、推广装配式建筑、推动绿色建筑、推动低能零耗建筑5方面。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八</w:t>
      </w:r>
      <w:r>
        <w:rPr>
          <w:rFonts w:hint="eastAsia" w:eastAsia="仿宋_GB2312" w:cs="仿宋_GB2312"/>
          <w:b/>
          <w:bCs/>
          <w:sz w:val="32"/>
          <w:szCs w:val="32"/>
        </w:rPr>
        <w:t>是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鼓励企业人才引育。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主要有加强建筑</w:t>
      </w:r>
      <w:r>
        <w:rPr>
          <w:rFonts w:hint="eastAsia" w:eastAsia="仿宋_GB2312" w:cs="仿宋_GB2312"/>
          <w:sz w:val="32"/>
          <w:szCs w:val="32"/>
        </w:rPr>
        <w:t>工人</w:t>
      </w:r>
      <w:r>
        <w:rPr>
          <w:rFonts w:hint="eastAsia" w:ascii="Times New Roman" w:hAnsi="Times New Roman" w:eastAsia="仿宋_GB2312" w:cs="仿宋_GB2312"/>
          <w:sz w:val="32"/>
          <w:szCs w:val="32"/>
        </w:rPr>
        <w:t>引育、加强建筑行业培训2方面。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四、适用范围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eastAsia="仿宋_GB2312" w:cs="仿宋_GB2312"/>
          <w:b w:val="0"/>
          <w:bCs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本政策适用范围为全市符合相关条件</w:t>
      </w: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</w:rPr>
        <w:t>的建筑业企业</w:t>
      </w:r>
      <w:r>
        <w:rPr>
          <w:rFonts w:hint="eastAsia" w:eastAsia="仿宋_GB2312" w:cs="仿宋_GB2312"/>
          <w:b w:val="0"/>
          <w:bCs w:val="0"/>
          <w:kern w:val="2"/>
          <w:sz w:val="32"/>
          <w:szCs w:val="32"/>
        </w:rPr>
        <w:t>、</w:t>
      </w:r>
      <w:r>
        <w:rPr>
          <w:rFonts w:hint="eastAsia" w:ascii="Times New Roman" w:hAnsi="Times New Roman" w:eastAsia="仿宋_GB2312" w:cs="仿宋_GB2312"/>
          <w:b w:val="0"/>
          <w:bCs w:val="0"/>
          <w:kern w:val="2"/>
          <w:sz w:val="32"/>
          <w:szCs w:val="32"/>
        </w:rPr>
        <w:t>单位和个人</w:t>
      </w:r>
      <w:r>
        <w:rPr>
          <w:rFonts w:hint="eastAsia" w:eastAsia="仿宋_GB2312" w:cs="仿宋_GB2312"/>
          <w:b w:val="0"/>
          <w:bCs w:val="0"/>
          <w:kern w:val="2"/>
          <w:sz w:val="32"/>
          <w:szCs w:val="32"/>
        </w:rPr>
        <w:t>。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五、执行期限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本</w:t>
      </w:r>
      <w:r>
        <w:rPr>
          <w:rFonts w:hint="eastAsia" w:ascii="Times New Roman" w:hAnsi="Times New Roman" w:eastAsia="仿宋_GB2312" w:cs="仿宋_GB2312"/>
          <w:sz w:val="32"/>
          <w:szCs w:val="32"/>
        </w:rPr>
        <w:t>政策执行期限为2026年1月 1日至2027年12月31日</w:t>
      </w:r>
      <w:r>
        <w:rPr>
          <w:rFonts w:hint="eastAsia" w:eastAsia="仿宋_GB2312" w:cs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bCs/>
          <w:kern w:val="0"/>
          <w:sz w:val="32"/>
          <w:szCs w:val="32"/>
          <w:lang w:bidi="ar"/>
        </w:rPr>
        <w:t>（原有补贴政策尚未执行完毕的除外），</w:t>
      </w:r>
      <w:r>
        <w:rPr>
          <w:rFonts w:hint="eastAsia" w:ascii="Times New Roman" w:hAnsi="Times New Roman" w:eastAsia="仿宋_GB2312"/>
          <w:bCs/>
          <w:snapToGrid w:val="0"/>
          <w:sz w:val="32"/>
          <w:szCs w:val="32"/>
          <w:lang w:bidi="ar"/>
        </w:rPr>
        <w:t>政策在执行有效期内修订的，按新修订政策为准，</w:t>
      </w:r>
      <w:r>
        <w:rPr>
          <w:rFonts w:hint="eastAsia" w:ascii="Times New Roman" w:hAnsi="Times New Roman" w:eastAsia="仿宋_GB2312"/>
          <w:bCs/>
          <w:kern w:val="0"/>
          <w:sz w:val="32"/>
          <w:szCs w:val="32"/>
          <w:lang w:bidi="ar"/>
        </w:rPr>
        <w:t>具体由市建设局会同市财政局实施。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firstLine="640"/>
        <w:jc w:val="both"/>
        <w:textAlignment w:val="auto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六、解读机关、解读人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解读机关：绍兴市住房和城乡建设局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解 读 人：俞少楼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丁锦铭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联系方式：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0575-85222079</w:t>
      </w:r>
    </w:p>
    <w:p/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《鼓励支持开放型经济发展若干政策》</w:t>
      </w: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政策解读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一、制定背景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为全面贯彻党的二十大精神及中央、省委经济工作会议和市委常委会部署要求，坚决落实各级决策安排，强化开放型经济政策支撑，推动开放型经济提质升级，着力实现高水平对外开放。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二、</w:t>
      </w:r>
      <w:r>
        <w:rPr>
          <w:rFonts w:ascii="Times New Roman" w:hAnsi="Times New Roman" w:eastAsia="黑体"/>
          <w:sz w:val="32"/>
          <w:szCs w:val="32"/>
        </w:rPr>
        <w:t>制定依据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after="0"/>
        <w:ind w:firstLine="640" w:firstLineChars="200"/>
        <w:jc w:val="both"/>
        <w:textAlignment w:val="auto"/>
        <w:rPr>
          <w:rFonts w:ascii="Times New Roman" w:hAnsi="Times New Roman" w:eastAsia="仿宋_GB2312"/>
          <w:b w:val="0"/>
          <w:bCs w:val="0"/>
          <w:color w:val="000000"/>
        </w:rPr>
      </w:pPr>
      <w:r>
        <w:rPr>
          <w:rFonts w:ascii="Times New Roman" w:hAnsi="Times New Roman" w:eastAsia="仿宋_GB2312"/>
          <w:b w:val="0"/>
          <w:bCs w:val="0"/>
          <w:color w:val="000000"/>
        </w:rPr>
        <w:t>《绍兴市人民政府办公室关于印发 先进制造业强市</w:t>
      </w:r>
      <w:r>
        <w:rPr>
          <w:rFonts w:hint="eastAsia" w:ascii="Times New Roman" w:hAnsi="Times New Roman" w:eastAsia="仿宋_GB2312"/>
          <w:b w:val="0"/>
          <w:bCs w:val="0"/>
          <w:color w:val="000000"/>
        </w:rPr>
        <w:t>建设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</w:rPr>
        <w:t>“</w:t>
      </w:r>
      <w:r>
        <w:rPr>
          <w:rFonts w:ascii="Times New Roman" w:hAnsi="Times New Roman" w:eastAsia="仿宋_GB2312"/>
          <w:b w:val="0"/>
          <w:bCs w:val="0"/>
          <w:color w:val="000000"/>
        </w:rPr>
        <w:t>4151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</w:rPr>
        <w:t>”</w:t>
      </w:r>
      <w:r>
        <w:rPr>
          <w:rFonts w:ascii="Times New Roman" w:hAnsi="Times New Roman" w:eastAsia="仿宋_GB2312"/>
          <w:b w:val="0"/>
          <w:bCs w:val="0"/>
          <w:color w:val="000000"/>
        </w:rPr>
        <w:t>计划专项政策等五个政策的通知》（绍政办发〔202</w:t>
      </w:r>
      <w:r>
        <w:rPr>
          <w:rFonts w:hint="eastAsia" w:ascii="Times New Roman" w:hAnsi="Times New Roman" w:eastAsia="仿宋_GB2312"/>
          <w:b w:val="0"/>
          <w:bCs w:val="0"/>
          <w:color w:val="000000"/>
        </w:rPr>
        <w:t>5</w:t>
      </w:r>
      <w:r>
        <w:rPr>
          <w:rFonts w:ascii="Times New Roman" w:hAnsi="Times New Roman" w:eastAsia="仿宋_GB2312"/>
          <w:b w:val="0"/>
          <w:bCs w:val="0"/>
          <w:color w:val="000000"/>
        </w:rPr>
        <w:t>〕</w:t>
      </w:r>
      <w:r>
        <w:rPr>
          <w:rFonts w:hint="eastAsia" w:ascii="Times New Roman" w:hAnsi="Times New Roman" w:eastAsia="仿宋_GB2312"/>
          <w:b w:val="0"/>
          <w:bCs w:val="0"/>
          <w:color w:val="000000"/>
        </w:rPr>
        <w:t>22</w:t>
      </w:r>
      <w:r>
        <w:rPr>
          <w:rFonts w:ascii="Times New Roman" w:hAnsi="Times New Roman" w:eastAsia="仿宋_GB2312"/>
          <w:b w:val="0"/>
          <w:bCs w:val="0"/>
          <w:color w:val="000000"/>
        </w:rPr>
        <w:t>号）等政策文件。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bCs/>
          <w:color w:val="000000"/>
          <w:sz w:val="32"/>
          <w:szCs w:val="32"/>
        </w:rPr>
        <w:t>三、</w:t>
      </w:r>
      <w:r>
        <w:rPr>
          <w:rFonts w:ascii="Times New Roman" w:hAnsi="Times New Roman" w:eastAsia="黑体"/>
          <w:color w:val="000000"/>
          <w:sz w:val="32"/>
          <w:szCs w:val="32"/>
        </w:rPr>
        <w:t>主要内容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ascii="Times New Roman" w:hAnsi="Times New Roman" w:eastAsia="仿宋_GB2312"/>
          <w:bCs/>
          <w:color w:val="000000"/>
          <w:sz w:val="32"/>
          <w:szCs w:val="32"/>
        </w:rPr>
        <w:t>本次开放型经济政策根据省级最新政策调整基础上，结合绩效评价，政策修订紧扣开放性经济发展主题，着眼鼓励引进优质外资、做大做强对外贸易、鼓励发展贸易新业态、加大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“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>走出去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”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>支持力度、支持防范外经贸风险五大领域，提出了29项奖补政策条款。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1" w:firstLineChars="200"/>
        <w:jc w:val="both"/>
        <w:textAlignment w:val="auto"/>
        <w:rPr>
          <w:rFonts w:ascii="Times New Roman" w:hAnsi="Times New Roman" w:eastAsia="仿宋_GB2312"/>
          <w:bCs/>
          <w:color w:val="000000"/>
          <w:kern w:val="2"/>
          <w:sz w:val="32"/>
          <w:szCs w:val="32"/>
        </w:rPr>
      </w:pPr>
      <w:r>
        <w:rPr>
          <w:rStyle w:val="18"/>
          <w:rFonts w:ascii="Times New Roman" w:hAnsi="Times New Roman" w:eastAsia="仿宋_GB2312"/>
          <w:color w:val="000000"/>
          <w:sz w:val="32"/>
          <w:szCs w:val="32"/>
        </w:rPr>
        <w:t>一是鼓励引进优质外资</w:t>
      </w:r>
      <w:r>
        <w:rPr>
          <w:rStyle w:val="18"/>
          <w:rFonts w:ascii="Times New Roman" w:hAnsi="Times New Roman" w:eastAsia="仿宋_GB2312"/>
          <w:b w:val="0"/>
          <w:color w:val="000000"/>
          <w:sz w:val="32"/>
          <w:szCs w:val="32"/>
        </w:rPr>
        <w:t>。聚焦加大财政支持力度</w:t>
      </w:r>
      <w:r>
        <w:rPr>
          <w:rFonts w:ascii="Times New Roman" w:hAnsi="Times New Roman" w:eastAsia="仿宋_GB2312"/>
          <w:bCs/>
          <w:color w:val="000000"/>
          <w:kern w:val="2"/>
          <w:sz w:val="32"/>
          <w:szCs w:val="32"/>
        </w:rPr>
        <w:t>、加大全球化招商推进力度、加强项目要素保障、加大金融支持力度、支持外资企业研发创新等方面提出5项政策条款。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1" w:firstLineChars="200"/>
        <w:jc w:val="both"/>
        <w:textAlignment w:val="auto"/>
        <w:rPr>
          <w:rFonts w:ascii="Times New Roman" w:hAnsi="Times New Roman" w:eastAsia="仿宋_GB2312"/>
          <w:bCs/>
          <w:color w:val="000000"/>
          <w:kern w:val="2"/>
          <w:sz w:val="32"/>
          <w:szCs w:val="32"/>
        </w:rPr>
      </w:pPr>
      <w:r>
        <w:rPr>
          <w:rStyle w:val="18"/>
          <w:rFonts w:ascii="Times New Roman" w:hAnsi="Times New Roman" w:eastAsia="仿宋_GB2312"/>
          <w:color w:val="000000"/>
          <w:sz w:val="32"/>
          <w:szCs w:val="32"/>
        </w:rPr>
        <w:t>二是做大做强对外贸易</w:t>
      </w:r>
      <w:r>
        <w:rPr>
          <w:rStyle w:val="18"/>
          <w:rFonts w:ascii="Times New Roman" w:hAnsi="Times New Roman" w:eastAsia="仿宋_GB2312"/>
          <w:b w:val="0"/>
          <w:color w:val="000000"/>
          <w:sz w:val="32"/>
          <w:szCs w:val="32"/>
        </w:rPr>
        <w:t>。</w:t>
      </w:r>
      <w:r>
        <w:rPr>
          <w:rFonts w:ascii="Times New Roman" w:hAnsi="Times New Roman" w:eastAsia="仿宋_GB2312"/>
          <w:bCs/>
          <w:color w:val="000000"/>
          <w:kern w:val="2"/>
          <w:sz w:val="32"/>
          <w:szCs w:val="32"/>
        </w:rPr>
        <w:t>聚焦支持企业参加展会、支持商协会抱团参展、支持企业开展境外认证、支持企业开展AEO高级认证（海关高级认证）、鼓励外贸企业</w:t>
      </w:r>
      <w:r>
        <w:rPr>
          <w:rFonts w:hint="eastAsia" w:ascii="Times New Roman" w:hAnsi="Times New Roman" w:eastAsia="仿宋_GB2312"/>
          <w:bCs/>
          <w:color w:val="000000"/>
          <w:kern w:val="2"/>
          <w:sz w:val="32"/>
          <w:szCs w:val="32"/>
        </w:rPr>
        <w:t>拓展业务</w:t>
      </w:r>
      <w:r>
        <w:rPr>
          <w:rFonts w:ascii="Times New Roman" w:hAnsi="Times New Roman" w:eastAsia="仿宋_GB2312"/>
          <w:bCs/>
          <w:color w:val="000000"/>
          <w:kern w:val="2"/>
          <w:sz w:val="32"/>
          <w:szCs w:val="32"/>
        </w:rPr>
        <w:t>、支持出口品牌培育、支持进口扩量提质、鼓励</w:t>
      </w:r>
      <w:r>
        <w:rPr>
          <w:rFonts w:hint="eastAsia" w:ascii="Times New Roman" w:hAnsi="Times New Roman" w:eastAsia="仿宋_GB2312"/>
          <w:bCs/>
          <w:color w:val="000000"/>
          <w:kern w:val="2"/>
          <w:sz w:val="32"/>
          <w:szCs w:val="32"/>
        </w:rPr>
        <w:t>服务贸易创新发展</w:t>
      </w:r>
      <w:r>
        <w:rPr>
          <w:rFonts w:ascii="Times New Roman" w:hAnsi="Times New Roman" w:eastAsia="仿宋_GB2312"/>
          <w:bCs/>
          <w:color w:val="000000"/>
          <w:kern w:val="2"/>
          <w:sz w:val="32"/>
          <w:szCs w:val="32"/>
        </w:rPr>
        <w:t>等方面提出</w:t>
      </w:r>
      <w:r>
        <w:rPr>
          <w:rFonts w:hint="eastAsia" w:ascii="Times New Roman" w:hAnsi="Times New Roman" w:eastAsia="仿宋_GB2312"/>
          <w:bCs/>
          <w:color w:val="000000"/>
          <w:kern w:val="2"/>
          <w:sz w:val="32"/>
          <w:szCs w:val="32"/>
        </w:rPr>
        <w:t>8</w:t>
      </w:r>
      <w:r>
        <w:rPr>
          <w:rFonts w:ascii="Times New Roman" w:hAnsi="Times New Roman" w:eastAsia="仿宋_GB2312"/>
          <w:bCs/>
          <w:color w:val="000000"/>
          <w:kern w:val="2"/>
          <w:sz w:val="32"/>
          <w:szCs w:val="32"/>
        </w:rPr>
        <w:t>项政策条款。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1" w:firstLineChars="200"/>
        <w:jc w:val="both"/>
        <w:textAlignment w:val="auto"/>
        <w:rPr>
          <w:rFonts w:ascii="Times New Roman" w:hAnsi="Times New Roman" w:eastAsia="仿宋_GB2312"/>
          <w:bCs/>
          <w:color w:val="000000"/>
          <w:kern w:val="2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000000"/>
          <w:sz w:val="32"/>
          <w:szCs w:val="32"/>
        </w:rPr>
        <w:t>三是鼓励发展贸易新业态</w:t>
      </w:r>
      <w:r>
        <w:rPr>
          <w:rStyle w:val="18"/>
          <w:rFonts w:ascii="Times New Roman" w:hAnsi="Times New Roman" w:eastAsia="仿宋_GB2312"/>
          <w:b w:val="0"/>
          <w:color w:val="000000"/>
          <w:sz w:val="32"/>
          <w:szCs w:val="32"/>
        </w:rPr>
        <w:t>。聚焦支持企业开展跨境电子商务业务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>、支持建设跨境电子商务产业园、支持企业扩大跨境电子商务出口、支持高等院校开展跨境电子商务专业教育、鼓励企业开展跨境电商培训</w:t>
      </w:r>
      <w:r>
        <w:rPr>
          <w:rFonts w:ascii="Times New Roman" w:hAnsi="Times New Roman" w:eastAsia="仿宋_GB2312"/>
          <w:bCs/>
          <w:color w:val="000000"/>
          <w:kern w:val="2"/>
          <w:sz w:val="32"/>
          <w:szCs w:val="32"/>
        </w:rPr>
        <w:t>、鼓励第三方服务企业为跨境电商企业提供创新服务</w:t>
      </w:r>
      <w:r>
        <w:rPr>
          <w:rFonts w:hint="eastAsia" w:ascii="Times New Roman" w:hAnsi="Times New Roman" w:eastAsia="仿宋_GB2312"/>
          <w:bCs/>
          <w:color w:val="000000"/>
          <w:kern w:val="2"/>
          <w:sz w:val="32"/>
          <w:szCs w:val="32"/>
        </w:rPr>
        <w:t>、</w:t>
      </w:r>
      <w:r>
        <w:rPr>
          <w:rFonts w:ascii="Times New Roman" w:hAnsi="Times New Roman" w:eastAsia="仿宋_GB2312"/>
          <w:bCs/>
          <w:color w:val="000000"/>
          <w:kern w:val="2"/>
          <w:sz w:val="32"/>
          <w:szCs w:val="32"/>
        </w:rPr>
        <w:t>鼓励跨境电子商务示范创建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>、支持跨境电商平台建设、鼓励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“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>直播+平台+跨境电商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”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>融合发展、鼓励发展跨境电商仓储物流</w:t>
      </w:r>
      <w:r>
        <w:rPr>
          <w:rFonts w:hint="eastAsia" w:ascii="Times New Roman" w:hAnsi="Times New Roman" w:eastAsia="仿宋_GB2312"/>
          <w:bCs/>
          <w:color w:val="000000"/>
          <w:sz w:val="32"/>
          <w:szCs w:val="32"/>
        </w:rPr>
        <w:t>、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>支持外贸服务平台建设、支持市场采购贸易方式试点建设</w:t>
      </w:r>
      <w:r>
        <w:rPr>
          <w:rFonts w:ascii="Times New Roman" w:hAnsi="Times New Roman" w:eastAsia="仿宋_GB2312"/>
          <w:bCs/>
          <w:color w:val="000000"/>
          <w:kern w:val="2"/>
          <w:sz w:val="32"/>
          <w:szCs w:val="32"/>
        </w:rPr>
        <w:t>等方面提出1</w:t>
      </w:r>
      <w:r>
        <w:rPr>
          <w:rFonts w:hint="eastAsia" w:ascii="Times New Roman" w:hAnsi="Times New Roman" w:eastAsia="仿宋_GB2312"/>
          <w:bCs/>
          <w:color w:val="000000"/>
          <w:kern w:val="2"/>
          <w:sz w:val="32"/>
          <w:szCs w:val="32"/>
        </w:rPr>
        <w:t>2</w:t>
      </w:r>
      <w:r>
        <w:rPr>
          <w:rFonts w:ascii="Times New Roman" w:hAnsi="Times New Roman" w:eastAsia="仿宋_GB2312"/>
          <w:bCs/>
          <w:color w:val="000000"/>
          <w:kern w:val="2"/>
          <w:sz w:val="32"/>
          <w:szCs w:val="32"/>
        </w:rPr>
        <w:t>项政策条款。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1" w:firstLineChars="200"/>
        <w:jc w:val="both"/>
        <w:textAlignment w:val="auto"/>
        <w:rPr>
          <w:rFonts w:ascii="Times New Roman" w:hAnsi="Times New Roman" w:eastAsia="仿宋_GB2312"/>
          <w:bCs/>
          <w:sz w:val="32"/>
          <w:szCs w:val="32"/>
        </w:rPr>
      </w:pPr>
      <w:r>
        <w:rPr>
          <w:rStyle w:val="18"/>
          <w:rFonts w:ascii="Times New Roman" w:hAnsi="Times New Roman" w:eastAsia="仿宋_GB2312"/>
          <w:color w:val="000000"/>
          <w:sz w:val="32"/>
          <w:szCs w:val="32"/>
        </w:rPr>
        <w:t>四是加大</w:t>
      </w:r>
      <w:r>
        <w:rPr>
          <w:rStyle w:val="18"/>
          <w:rFonts w:hint="eastAsia" w:ascii="仿宋_GB2312" w:hAnsi="仿宋_GB2312" w:eastAsia="仿宋_GB2312" w:cs="仿宋_GB2312"/>
          <w:color w:val="000000"/>
          <w:sz w:val="32"/>
          <w:szCs w:val="32"/>
        </w:rPr>
        <w:t>“</w:t>
      </w:r>
      <w:r>
        <w:rPr>
          <w:rStyle w:val="18"/>
          <w:rFonts w:ascii="Times New Roman" w:hAnsi="Times New Roman" w:eastAsia="仿宋_GB2312"/>
          <w:color w:val="000000"/>
          <w:sz w:val="32"/>
          <w:szCs w:val="32"/>
        </w:rPr>
        <w:t>走出去</w:t>
      </w:r>
      <w:r>
        <w:rPr>
          <w:rStyle w:val="18"/>
          <w:rFonts w:hint="eastAsia" w:ascii="仿宋_GB2312" w:hAnsi="仿宋_GB2312" w:eastAsia="仿宋_GB2312" w:cs="仿宋_GB2312"/>
          <w:color w:val="000000"/>
          <w:sz w:val="32"/>
          <w:szCs w:val="32"/>
        </w:rPr>
        <w:t>”</w:t>
      </w:r>
      <w:r>
        <w:rPr>
          <w:rStyle w:val="18"/>
          <w:rFonts w:ascii="Times New Roman" w:hAnsi="Times New Roman" w:eastAsia="仿宋_GB2312"/>
          <w:color w:val="000000"/>
          <w:sz w:val="32"/>
          <w:szCs w:val="32"/>
        </w:rPr>
        <w:t>支持力度</w:t>
      </w:r>
      <w:r>
        <w:rPr>
          <w:rStyle w:val="18"/>
          <w:rFonts w:ascii="Times New Roman" w:hAnsi="Times New Roman" w:eastAsia="仿宋_GB2312"/>
          <w:b w:val="0"/>
          <w:color w:val="000000"/>
          <w:sz w:val="32"/>
          <w:szCs w:val="32"/>
        </w:rPr>
        <w:t>。鼓励企业走出去承包工程</w:t>
      </w:r>
      <w:r>
        <w:rPr>
          <w:rFonts w:ascii="Times New Roman" w:hAnsi="Times New Roman" w:eastAsia="仿宋_GB2312"/>
          <w:bCs/>
          <w:color w:val="000000"/>
          <w:kern w:val="2"/>
          <w:sz w:val="32"/>
          <w:szCs w:val="32"/>
        </w:rPr>
        <w:t>、鼓励企业有序开展境外投资</w:t>
      </w:r>
      <w:r>
        <w:rPr>
          <w:rFonts w:ascii="Times New Roman" w:hAnsi="Times New Roman" w:eastAsia="仿宋_GB2312"/>
          <w:bCs/>
          <w:kern w:val="2"/>
          <w:sz w:val="32"/>
          <w:szCs w:val="32"/>
        </w:rPr>
        <w:t>等方面提出2项政策条款。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1" w:firstLineChars="200"/>
        <w:jc w:val="both"/>
        <w:textAlignment w:val="auto"/>
        <w:rPr>
          <w:rFonts w:ascii="Times New Roman" w:hAnsi="Times New Roman" w:eastAsia="仿宋_GB2312"/>
          <w:bCs/>
          <w:kern w:val="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五是支持防范外经贸风险</w:t>
      </w:r>
      <w:r>
        <w:rPr>
          <w:rStyle w:val="18"/>
          <w:rFonts w:ascii="Times New Roman" w:hAnsi="Times New Roman" w:eastAsia="仿宋_GB2312"/>
          <w:b w:val="0"/>
          <w:sz w:val="32"/>
          <w:szCs w:val="32"/>
        </w:rPr>
        <w:t>。支持投保出口及投资信用保险</w:t>
      </w:r>
      <w:r>
        <w:rPr>
          <w:rFonts w:ascii="Times New Roman" w:hAnsi="Times New Roman" w:eastAsia="仿宋_GB2312"/>
          <w:bCs/>
          <w:sz w:val="32"/>
          <w:szCs w:val="32"/>
        </w:rPr>
        <w:t>、支持应对贸易摩擦等方面提出2</w:t>
      </w:r>
      <w:r>
        <w:rPr>
          <w:rFonts w:ascii="Times New Roman" w:hAnsi="Times New Roman" w:eastAsia="仿宋_GB2312"/>
          <w:bCs/>
          <w:kern w:val="2"/>
          <w:sz w:val="32"/>
          <w:szCs w:val="32"/>
        </w:rPr>
        <w:t>项政策条款。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1" w:firstLineChars="200"/>
        <w:jc w:val="both"/>
        <w:textAlignment w:val="auto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六是其他</w:t>
      </w:r>
      <w:r>
        <w:rPr>
          <w:rFonts w:hint="eastAsia" w:ascii="Times New Roman" w:hAnsi="Times New Roman" w:eastAsia="仿宋_GB2312"/>
          <w:bCs/>
          <w:kern w:val="2"/>
          <w:sz w:val="32"/>
          <w:szCs w:val="32"/>
        </w:rPr>
        <w:t>。</w:t>
      </w:r>
      <w:r>
        <w:rPr>
          <w:rFonts w:ascii="Times New Roman" w:hAnsi="Times New Roman" w:eastAsia="仿宋_GB2312"/>
          <w:bCs/>
          <w:sz w:val="32"/>
          <w:szCs w:val="32"/>
        </w:rPr>
        <w:t>对政策兑现范围、兑现原则等进行说明。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四</w:t>
      </w:r>
      <w:r>
        <w:rPr>
          <w:rFonts w:ascii="Times New Roman" w:hAnsi="Times New Roman" w:eastAsia="黑体"/>
          <w:bCs/>
          <w:sz w:val="32"/>
          <w:szCs w:val="32"/>
        </w:rPr>
        <w:t>、适用范围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政策执行期限</w:t>
      </w:r>
      <w:r>
        <w:rPr>
          <w:rFonts w:ascii="Times New Roman" w:hAnsi="Times New Roman" w:eastAsia="仿宋_GB2312"/>
          <w:bCs/>
          <w:spacing w:val="-4"/>
          <w:sz w:val="32"/>
          <w:szCs w:val="32"/>
        </w:rPr>
        <w:t>为202</w:t>
      </w:r>
      <w:r>
        <w:rPr>
          <w:rFonts w:hint="eastAsia" w:ascii="Times New Roman" w:hAnsi="Times New Roman" w:eastAsia="仿宋_GB2312"/>
          <w:bCs/>
          <w:spacing w:val="-4"/>
          <w:sz w:val="32"/>
          <w:szCs w:val="32"/>
        </w:rPr>
        <w:t>6</w:t>
      </w:r>
      <w:r>
        <w:rPr>
          <w:rFonts w:ascii="Times New Roman" w:hAnsi="Times New Roman" w:eastAsia="仿宋_GB2312"/>
          <w:bCs/>
          <w:spacing w:val="-4"/>
          <w:sz w:val="32"/>
          <w:szCs w:val="32"/>
        </w:rPr>
        <w:t>年1月1日至202</w:t>
      </w:r>
      <w:r>
        <w:rPr>
          <w:rFonts w:hint="eastAsia" w:ascii="Times New Roman" w:hAnsi="Times New Roman" w:eastAsia="仿宋_GB2312"/>
          <w:bCs/>
          <w:spacing w:val="-4"/>
          <w:sz w:val="32"/>
          <w:szCs w:val="32"/>
        </w:rPr>
        <w:t>7</w:t>
      </w:r>
      <w:r>
        <w:rPr>
          <w:rFonts w:ascii="Times New Roman" w:hAnsi="Times New Roman" w:eastAsia="仿宋_GB2312"/>
          <w:bCs/>
          <w:spacing w:val="-4"/>
          <w:sz w:val="32"/>
          <w:szCs w:val="32"/>
        </w:rPr>
        <w:t>年12月31日，适用</w:t>
      </w:r>
      <w:r>
        <w:rPr>
          <w:rFonts w:ascii="Times New Roman" w:hAnsi="Times New Roman" w:eastAsia="仿宋_GB2312"/>
          <w:bCs/>
          <w:sz w:val="32"/>
          <w:szCs w:val="32"/>
        </w:rPr>
        <w:t>范围为在本市行政区域范围内。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五</w:t>
      </w:r>
      <w:r>
        <w:rPr>
          <w:rFonts w:ascii="Times New Roman" w:hAnsi="Times New Roman" w:eastAsia="黑体"/>
          <w:bCs/>
          <w:sz w:val="32"/>
          <w:szCs w:val="32"/>
        </w:rPr>
        <w:t>、解读机关、解读人及联系方式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解读机关：绍兴市商务局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解读人：</w:t>
      </w:r>
      <w:r>
        <w:rPr>
          <w:rFonts w:hint="eastAsia" w:ascii="Times New Roman" w:hAnsi="Times New Roman" w:eastAsia="仿宋_GB2312"/>
          <w:bCs/>
          <w:sz w:val="32"/>
          <w:szCs w:val="32"/>
          <w:lang w:eastAsia="zh-CN"/>
        </w:rPr>
        <w:t>金立耿</w:t>
      </w:r>
      <w:r>
        <w:rPr>
          <w:rFonts w:ascii="Times New Roman" w:hAnsi="Times New Roman" w:eastAsia="仿宋_GB2312"/>
          <w:bCs/>
          <w:sz w:val="32"/>
          <w:szCs w:val="32"/>
        </w:rPr>
        <w:t>、</w:t>
      </w:r>
      <w:r>
        <w:rPr>
          <w:rFonts w:hint="eastAsia" w:ascii="Times New Roman" w:hAnsi="Times New Roman" w:eastAsia="仿宋_GB2312"/>
          <w:bCs/>
          <w:sz w:val="32"/>
          <w:szCs w:val="32"/>
        </w:rPr>
        <w:t>李春雷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</w:pPr>
      <w:r>
        <w:rPr>
          <w:rFonts w:ascii="Times New Roman" w:hAnsi="Times New Roman" w:eastAsia="仿宋_GB2312"/>
          <w:bCs/>
          <w:sz w:val="32"/>
          <w:szCs w:val="32"/>
        </w:rPr>
        <w:t>联系电话：</w:t>
      </w:r>
      <w:r>
        <w:rPr>
          <w:rFonts w:hint="eastAsia" w:ascii="Times New Roman" w:hAnsi="Times New Roman" w:eastAsia="仿宋_GB2312"/>
          <w:bCs/>
          <w:spacing w:val="-4"/>
          <w:sz w:val="32"/>
          <w:szCs w:val="32"/>
        </w:rPr>
        <w:t>85134153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 Light">
    <w:altName w:val="汉仪书宋二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汉仪楷体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altName w:val="汉仪中黑KW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FBE90CCD"/>
    <w:rsid w:val="0019374D"/>
    <w:rsid w:val="0039320E"/>
    <w:rsid w:val="00DC7446"/>
    <w:rsid w:val="0EB7AA0C"/>
    <w:rsid w:val="2E7FBF54"/>
    <w:rsid w:val="2F37D093"/>
    <w:rsid w:val="3F1F61B3"/>
    <w:rsid w:val="437B6009"/>
    <w:rsid w:val="551E7041"/>
    <w:rsid w:val="5D1FD805"/>
    <w:rsid w:val="5EDE9BEB"/>
    <w:rsid w:val="5FAF5151"/>
    <w:rsid w:val="6CADE702"/>
    <w:rsid w:val="6F8B0416"/>
    <w:rsid w:val="7FAFD5A1"/>
    <w:rsid w:val="9B9B755F"/>
    <w:rsid w:val="B7EF3FA6"/>
    <w:rsid w:val="DD77E3C4"/>
    <w:rsid w:val="ECFEC91E"/>
    <w:rsid w:val="F6BF4E05"/>
    <w:rsid w:val="F7BEE074"/>
    <w:rsid w:val="F8A48887"/>
    <w:rsid w:val="FBE90CCD"/>
    <w:rsid w:val="FEA52752"/>
    <w:rsid w:val="FF358FD8"/>
    <w:rsid w:val="FFDB10FE"/>
    <w:rsid w:val="FFEC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2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5"/>
    <w:unhideWhenUsed/>
    <w:qFormat/>
    <w:uiPriority w:val="99"/>
    <w:pPr>
      <w:ind w:firstLine="420" w:firstLineChars="200"/>
    </w:pPr>
    <w:rPr>
      <w:rFonts w:eastAsia="仿宋"/>
      <w:sz w:val="32"/>
    </w:rPr>
  </w:style>
  <w:style w:type="paragraph" w:customStyle="1" w:styleId="5">
    <w:name w:val="Heading1"/>
    <w:next w:val="1"/>
    <w:qFormat/>
    <w:uiPriority w:val="0"/>
    <w:pPr>
      <w:keepNext/>
      <w:keepLines/>
      <w:widowControl w:val="0"/>
      <w:spacing w:before="340" w:after="330" w:line="576" w:lineRule="auto"/>
      <w:jc w:val="center"/>
    </w:pPr>
    <w:rPr>
      <w:rFonts w:ascii="Times New Roman" w:hAnsi="Times New Roman" w:eastAsia="方正小标宋简体" w:cs="Times New Roman"/>
      <w:kern w:val="44"/>
      <w:sz w:val="44"/>
      <w:lang w:val="en-US" w:eastAsia="zh-CN" w:bidi="ar-SA"/>
    </w:rPr>
  </w:style>
  <w:style w:type="paragraph" w:styleId="6">
    <w:name w:val="index 5"/>
    <w:basedOn w:val="1"/>
    <w:next w:val="1"/>
    <w:unhideWhenUsed/>
    <w:qFormat/>
    <w:uiPriority w:val="0"/>
    <w:pPr>
      <w:suppressAutoHyphens/>
      <w:ind w:left="800" w:leftChars="800"/>
    </w:pPr>
    <w:rPr>
      <w:rFonts w:ascii="Times New Roman" w:hAnsi="Times New Roman"/>
    </w:rPr>
  </w:style>
  <w:style w:type="paragraph" w:styleId="7">
    <w:name w:val="Body Text"/>
    <w:basedOn w:val="1"/>
    <w:next w:val="8"/>
    <w:qFormat/>
    <w:uiPriority w:val="0"/>
    <w:pPr>
      <w:spacing w:after="120"/>
    </w:pPr>
    <w:rPr>
      <w:rFonts w:ascii="Times New Roman" w:hAnsi="Times New Roman" w:eastAsia="仿宋_GB2312"/>
      <w:sz w:val="32"/>
      <w:szCs w:val="32"/>
    </w:rPr>
  </w:style>
  <w:style w:type="paragraph" w:styleId="8">
    <w:name w:val="Body Text First Indent"/>
    <w:basedOn w:val="7"/>
    <w:next w:val="7"/>
    <w:qFormat/>
    <w:uiPriority w:val="99"/>
    <w:pPr>
      <w:spacing w:line="500" w:lineRule="exact"/>
      <w:ind w:firstLine="420"/>
    </w:pPr>
    <w:rPr>
      <w:rFonts w:ascii="Calibri" w:hAnsi="Calibri" w:eastAsia="楷体_GB2312"/>
      <w:sz w:val="21"/>
      <w:szCs w:val="20"/>
    </w:rPr>
  </w:style>
  <w:style w:type="paragraph" w:styleId="9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10">
    <w:name w:val="Plain Text"/>
    <w:basedOn w:val="1"/>
    <w:unhideWhenUsed/>
    <w:qFormat/>
    <w:uiPriority w:val="99"/>
    <w:rPr>
      <w:rFonts w:ascii="宋体" w:hAnsi="Courier New" w:eastAsia="Times New Roman"/>
      <w:szCs w:val="21"/>
    </w:rPr>
  </w:style>
  <w:style w:type="paragraph" w:styleId="11">
    <w:name w:val="footer"/>
    <w:basedOn w:val="1"/>
    <w:link w:val="2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0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widowControl/>
      <w:spacing w:after="100" w:line="259" w:lineRule="auto"/>
    </w:pPr>
    <w:rPr>
      <w:rFonts w:ascii="等线" w:hAnsi="等线" w:eastAsia="等线"/>
      <w:sz w:val="22"/>
      <w:szCs w:val="22"/>
    </w:rPr>
  </w:style>
  <w:style w:type="paragraph" w:styleId="14">
    <w:name w:val="Normal (Web)"/>
    <w:basedOn w:val="1"/>
    <w:unhideWhenUsed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5">
    <w:name w:val="Body Text First Indent 2"/>
    <w:basedOn w:val="9"/>
    <w:next w:val="9"/>
    <w:qFormat/>
    <w:uiPriority w:val="99"/>
    <w:pPr>
      <w:spacing w:after="0"/>
      <w:ind w:left="0" w:leftChars="0" w:firstLine="420" w:firstLineChars="200"/>
    </w:pPr>
    <w:rPr>
      <w:rFonts w:ascii="Times New Roman" w:eastAsia="Times New Roman"/>
      <w:szCs w:val="21"/>
    </w:rPr>
  </w:style>
  <w:style w:type="character" w:styleId="18">
    <w:name w:val="Strong"/>
    <w:qFormat/>
    <w:uiPriority w:val="0"/>
    <w:rPr>
      <w:b/>
      <w:bCs/>
    </w:rPr>
  </w:style>
  <w:style w:type="paragraph" w:customStyle="1" w:styleId="19">
    <w:name w:val="Char"/>
    <w:qFormat/>
    <w:uiPriority w:val="0"/>
    <w:pPr>
      <w:widowControl w:val="0"/>
      <w:adjustRightInd w:val="0"/>
      <w:spacing w:line="360" w:lineRule="auto"/>
      <w:jc w:val="both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customStyle="1" w:styleId="20">
    <w:name w:val="页眉 字符"/>
    <w:link w:val="12"/>
    <w:uiPriority w:val="0"/>
    <w:rPr>
      <w:kern w:val="2"/>
      <w:sz w:val="18"/>
      <w:szCs w:val="18"/>
    </w:rPr>
  </w:style>
  <w:style w:type="character" w:customStyle="1" w:styleId="21">
    <w:name w:val="页脚 字符"/>
    <w:link w:val="11"/>
    <w:uiPriority w:val="0"/>
    <w:rPr>
      <w:kern w:val="2"/>
      <w:sz w:val="18"/>
      <w:szCs w:val="18"/>
    </w:rPr>
  </w:style>
  <w:style w:type="character" w:customStyle="1" w:styleId="22">
    <w:name w:val="标题 2 字符"/>
    <w:link w:val="3"/>
    <w:semiHidden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616</Words>
  <Characters>3512</Characters>
  <Lines>29</Lines>
  <Paragraphs>8</Paragraphs>
  <TotalTime>6</TotalTime>
  <ScaleCrop>false</ScaleCrop>
  <LinksUpToDate>false</LinksUpToDate>
  <CharactersWithSpaces>4120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2026-02-02T17:25:00Z</dcterms:created>
  <dc:creator>user</dc:creator>
  <cp:lastModifiedBy>user</cp:lastModifiedBy>
  <cp:lastPrinted>2026-02-02T17:46:00Z</cp:lastPrinted>
  <dcterms:modified xsi:type="dcterms:W3CDTF">2026-02-02T14:50:41Z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7E5FF3D308AE86672FD776690BB1B91B</vt:lpwstr>
  </property>
</Properties>
</file>