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left="0" w:firstLine="0" w:firstLineChars="0"/>
        <w:jc w:val="center"/>
        <w:rPr>
          <w:rFonts w:ascii="方正小标宋简体" w:eastAsia="方正小标宋简体"/>
          <w:spacing w:val="-8"/>
          <w:sz w:val="44"/>
          <w:szCs w:val="44"/>
        </w:rPr>
      </w:pPr>
      <w:r>
        <w:rPr>
          <w:rFonts w:hint="eastAsia" w:ascii="方正小标宋简体" w:eastAsia="方正小标宋简体"/>
          <w:spacing w:val="-8"/>
          <w:sz w:val="44"/>
          <w:szCs w:val="44"/>
        </w:rPr>
        <w:t>《以深化县级统管为牵引</w:t>
      </w:r>
      <w:r>
        <w:rPr>
          <w:rFonts w:ascii="方正小标宋简体" w:eastAsia="方正小标宋简体"/>
          <w:spacing w:val="-8"/>
          <w:sz w:val="44"/>
          <w:szCs w:val="44"/>
        </w:rPr>
        <w:t xml:space="preserve"> </w:t>
      </w:r>
      <w:r>
        <w:rPr>
          <w:rFonts w:hint="eastAsia" w:ascii="方正小标宋简体" w:eastAsia="方正小标宋简体"/>
          <w:spacing w:val="-8"/>
          <w:sz w:val="44"/>
          <w:szCs w:val="44"/>
        </w:rPr>
        <w:t>持续优化农村供水服务水平实施方案（</w:t>
      </w:r>
      <w:r>
        <w:rPr>
          <w:rFonts w:ascii="Times New Roman" w:hAnsi="Times New Roman" w:eastAsia="方正小标宋简体"/>
          <w:spacing w:val="-8"/>
          <w:sz w:val="44"/>
          <w:szCs w:val="44"/>
        </w:rPr>
        <w:t>2026-2027年</w:t>
      </w:r>
      <w:r>
        <w:rPr>
          <w:rFonts w:hint="eastAsia" w:ascii="方正小标宋简体" w:eastAsia="方正小标宋简体"/>
          <w:spacing w:val="-8"/>
          <w:sz w:val="44"/>
          <w:szCs w:val="44"/>
        </w:rPr>
        <w:t>）》</w:t>
      </w:r>
    </w:p>
    <w:p>
      <w:pPr>
        <w:spacing w:line="560" w:lineRule="exact"/>
        <w:ind w:left="0" w:firstLine="0" w:firstLineChars="0"/>
        <w:jc w:val="center"/>
        <w:rPr>
          <w:rFonts w:hint="eastAsia" w:ascii="方正小标宋简体" w:eastAsia="方正小标宋简体"/>
          <w:spacing w:val="-8"/>
          <w:sz w:val="44"/>
          <w:szCs w:val="44"/>
        </w:rPr>
      </w:pPr>
      <w:r>
        <w:rPr>
          <w:rFonts w:hint="eastAsia" w:ascii="方正小标宋简体" w:eastAsia="方正小标宋简体"/>
          <w:spacing w:val="-8"/>
          <w:sz w:val="44"/>
          <w:szCs w:val="44"/>
        </w:rPr>
        <w:t>政策解读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ind w:firstLine="640" w:firstLineChars="200"/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ind w:firstLine="640" w:firstLineChars="200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一、制定背景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ind w:firstLine="640" w:firstLineChars="200"/>
        <w:rPr>
          <w:rFonts w:hint="eastAsia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 w:bidi="ar-SA"/>
        </w:rPr>
        <w:t>2026年，国务院发布《供水条例》，将城市供水和农村规模化供水纳入统一管理</w:t>
      </w:r>
      <w:r>
        <w:rPr>
          <w:rFonts w:ascii="Times New Roman" w:hAnsi="Times New Roman" w:eastAsia="仿宋_GB2312" w:cs="Times New Roman"/>
          <w:sz w:val="32"/>
          <w:szCs w:val="24"/>
          <w:lang w:val="en-US" w:eastAsia="zh-CN" w:bidi="ar-SA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 w:bidi="ar-SA"/>
        </w:rPr>
        <w:t>水利部等六部门联合印发《关于进一步加强农村供水工程运行管护工作的通知》，要求加快推进农村供水县域统管</w:t>
      </w:r>
      <w:r>
        <w:rPr>
          <w:rFonts w:hint="eastAsia"/>
        </w:rPr>
        <w:t>。省委</w:t>
      </w:r>
      <w:r>
        <w:t>、</w:t>
      </w:r>
      <w:r>
        <w:rPr>
          <w:rFonts w:hint="eastAsia"/>
        </w:rPr>
        <w:t>省政府</w:t>
      </w:r>
      <w:r>
        <w:t>印发</w:t>
      </w:r>
      <w:r>
        <w:rPr>
          <w:rFonts w:hint="eastAsia"/>
        </w:rPr>
        <w:t>《以“千万工程”牵引城乡融合发展缩小“三大差距”推进共同富裕先行示范的实施方案》</w:t>
      </w:r>
      <w:r>
        <w:t>，</w:t>
      </w:r>
      <w:r>
        <w:rPr>
          <w:rFonts w:hint="eastAsia"/>
        </w:rPr>
        <w:t>要求完善农村供水县级统管机制</w:t>
      </w:r>
      <w:r>
        <w:t>；</w:t>
      </w: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 w:bidi="ar-SA"/>
        </w:rPr>
        <w:t>省政府办公厅印发《加强农村供水县级统管工作指导意见》，要求到2027年底，县级统管机制更加完善</w:t>
      </w:r>
      <w:r>
        <w:rPr>
          <w:rFonts w:ascii="Times New Roman" w:hAnsi="Times New Roman" w:eastAsia="仿宋_GB2312" w:cs="Times New Roman"/>
          <w:sz w:val="32"/>
          <w:szCs w:val="24"/>
          <w:lang w:val="en-US" w:eastAsia="zh-CN" w:bidi="ar-SA"/>
        </w:rPr>
        <w:t>。市委、市政府印发</w:t>
      </w:r>
      <w:r>
        <w:rPr>
          <w:rFonts w:ascii="Times New Roman" w:hAnsi="Times New Roman" w:eastAsia="仿宋_GB2312" w:cs="Times New Roman"/>
          <w:sz w:val="32"/>
          <w:szCs w:val="32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</w:rPr>
        <w:t>以“千万工程”牵引缩小“三大差距”</w:t>
      </w:r>
      <w:r>
        <w:rPr>
          <w:rFonts w:ascii="Times New Roman" w:hAnsi="Times New Roman" w:eastAsia="仿宋_GB2312" w:cs="Times New Roman"/>
          <w:sz w:val="32"/>
          <w:szCs w:val="32"/>
        </w:rPr>
        <w:t>助力产城人文融合发展2026年工作方案》，要求健全基础设施县级统管机制。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ind w:firstLine="640" w:firstLineChars="200"/>
        <w:rPr>
          <w:rFonts w:ascii="黑体" w:hAnsi="黑体" w:eastAsia="黑体" w:cs="黑体"/>
        </w:rPr>
      </w:pPr>
      <w:r>
        <w:rPr>
          <w:rFonts w:ascii="黑体" w:hAnsi="黑体" w:eastAsia="黑体" w:cs="黑体"/>
        </w:rPr>
        <w:t>二、制定依据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ind w:firstLine="640" w:firstLineChars="200"/>
        <w:rPr>
          <w:rFonts w:ascii="黑体" w:hAnsi="黑体" w:eastAsia="黑体" w:cs="黑体"/>
        </w:rPr>
      </w:pPr>
      <w:r>
        <w:rPr>
          <w:rFonts w:hint="eastAsia" w:ascii="Times New Roman" w:hAnsi="Times New Roman" w:eastAsia="仿宋_GB2312"/>
          <w:sz w:val="32"/>
          <w:szCs w:val="32"/>
        </w:rPr>
        <w:t>《供水条例》</w:t>
      </w:r>
      <w:r>
        <w:rPr>
          <w:rFonts w:ascii="Times New Roman" w:hAnsi="Times New Roman" w:eastAsia="仿宋_GB2312"/>
          <w:sz w:val="32"/>
          <w:szCs w:val="32"/>
        </w:rPr>
        <w:t>（国务院令第831号）《浙江省农村供水保障办法》（浙江省人民政府令第400号）《浙江省人民政府办公厅关于加强农村供水县级统管工作的指导意见》（浙政办发〔2025〕44号）等政策文件。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ind w:firstLine="640" w:firstLineChars="200"/>
        <w:rPr>
          <w:rFonts w:hint="eastAsia" w:ascii="黑体" w:hAnsi="黑体" w:eastAsia="黑体" w:cs="黑体"/>
        </w:rPr>
      </w:pPr>
      <w:r>
        <w:rPr>
          <w:rFonts w:ascii="黑体" w:hAnsi="黑体" w:eastAsia="黑体" w:cs="黑体"/>
        </w:rPr>
        <w:t>三</w:t>
      </w:r>
      <w:r>
        <w:rPr>
          <w:rFonts w:hint="eastAsia" w:ascii="黑体" w:hAnsi="黑体" w:eastAsia="黑体" w:cs="黑体"/>
        </w:rPr>
        <w:t>、主要内容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ind w:firstLine="640" w:firstLineChars="200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sz w:val="32"/>
          <w:szCs w:val="32"/>
        </w:rPr>
        <w:t>《以深化县级统管为牵引</w:t>
      </w:r>
      <w:r>
        <w:rPr>
          <w:rFonts w:ascii="Times New Roman" w:hAnsi="Times New Roman" w:eastAsia="仿宋_GB2312"/>
          <w:sz w:val="32"/>
          <w:szCs w:val="32"/>
        </w:rPr>
        <w:t xml:space="preserve"> </w:t>
      </w:r>
      <w:r>
        <w:rPr>
          <w:rFonts w:hint="eastAsia" w:ascii="Times New Roman" w:hAnsi="Times New Roman" w:eastAsia="仿宋_GB2312"/>
          <w:sz w:val="32"/>
          <w:szCs w:val="32"/>
        </w:rPr>
        <w:t>持续优化农村供水服务水平实施方案（</w:t>
      </w:r>
      <w:r>
        <w:rPr>
          <w:rFonts w:ascii="Times New Roman" w:hAnsi="Times New Roman" w:eastAsia="仿宋_GB2312"/>
          <w:sz w:val="32"/>
          <w:szCs w:val="32"/>
        </w:rPr>
        <w:t>2026-2027年</w:t>
      </w:r>
      <w:r>
        <w:rPr>
          <w:rFonts w:hint="eastAsia" w:ascii="Times New Roman" w:hAnsi="Times New Roman" w:eastAsia="仿宋_GB2312"/>
          <w:sz w:val="32"/>
          <w:szCs w:val="32"/>
        </w:rPr>
        <w:t>）》</w:t>
      </w:r>
      <w:r>
        <w:rPr>
          <w:rFonts w:hint="eastAsia"/>
          <w:sz w:val="32"/>
          <w:szCs w:val="32"/>
          <w:lang w:eastAsia="zh-CN"/>
        </w:rPr>
        <w:t>（以下简称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《实施</w:t>
      </w:r>
      <w:r>
        <w:rPr>
          <w:rFonts w:hint="eastAsia"/>
          <w:sz w:val="32"/>
          <w:szCs w:val="32"/>
          <w:lang w:eastAsia="zh-CN"/>
        </w:rPr>
        <w:t>方案》）共5方面15项重点工作：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ind w:firstLine="640" w:firstLineChars="200"/>
        <w:rPr>
          <w:rFonts w:hint="eastAsia"/>
          <w:szCs w:val="32"/>
        </w:rPr>
      </w:pPr>
      <w:r>
        <w:rPr>
          <w:rFonts w:hint="eastAsia" w:ascii="楷体" w:hAnsi="楷体" w:eastAsia="楷体" w:cs="楷体"/>
        </w:rPr>
        <w:t>一是</w:t>
      </w:r>
      <w:r>
        <w:rPr>
          <w:rFonts w:ascii="楷体" w:hAnsi="楷体" w:eastAsia="楷体" w:cs="楷体"/>
        </w:rPr>
        <w:t>明确了</w:t>
      </w:r>
      <w:r>
        <w:rPr>
          <w:rFonts w:hint="eastAsia" w:ascii="楷体" w:hAnsi="楷体" w:eastAsia="楷体" w:cs="楷体"/>
        </w:rPr>
        <w:t>水站运行</w:t>
      </w:r>
      <w:r>
        <w:rPr>
          <w:rFonts w:ascii="楷体" w:hAnsi="楷体" w:eastAsia="楷体" w:cs="楷体"/>
        </w:rPr>
        <w:t>的</w:t>
      </w:r>
      <w:r>
        <w:rPr>
          <w:rFonts w:hint="eastAsia" w:ascii="楷体" w:hAnsi="楷体" w:eastAsia="楷体" w:cs="楷体"/>
        </w:rPr>
        <w:t>机制</w:t>
      </w:r>
      <w:r>
        <w:rPr>
          <w:rFonts w:ascii="楷体" w:hAnsi="楷体" w:eastAsia="楷体" w:cs="楷体"/>
        </w:rPr>
        <w:t>。</w:t>
      </w:r>
      <w:r>
        <w:rPr>
          <w:rFonts w:hint="eastAsia"/>
          <w:szCs w:val="32"/>
        </w:rPr>
        <w:t>主要包括落实标准化运维体系、保障分散型供水安全、推进数字化升级改造等措施。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ind w:firstLine="640" w:firstLineChars="200"/>
        <w:rPr>
          <w:szCs w:val="32"/>
        </w:rPr>
      </w:pPr>
      <w:r>
        <w:rPr>
          <w:rFonts w:ascii="Times New Roman" w:hAnsi="Times New Roman" w:eastAsia="楷体_GB2312" w:cs="楷体_GB2312"/>
          <w:spacing w:val="0"/>
          <w:sz w:val="32"/>
          <w:szCs w:val="32"/>
        </w:rPr>
        <w:t>二是明确了水费收缴的机制。</w:t>
      </w:r>
      <w:r>
        <w:rPr>
          <w:rFonts w:hint="eastAsia"/>
          <w:szCs w:val="32"/>
        </w:rPr>
        <w:t>主要包括健全水价形成机制、健全水费收缴机制、探索水费补偿机制等措施。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ind w:firstLine="640" w:firstLineChars="200"/>
        <w:rPr>
          <w:rFonts w:hint="eastAsia"/>
          <w:szCs w:val="32"/>
        </w:rPr>
      </w:pPr>
      <w:r>
        <w:rPr>
          <w:rFonts w:eastAsia="楷体_GB2312" w:cs="楷体_GB2312"/>
          <w:szCs w:val="32"/>
        </w:rPr>
        <w:t>三是明确了供水服务的机制。</w:t>
      </w:r>
      <w:r>
        <w:rPr>
          <w:rFonts w:hint="eastAsia"/>
          <w:szCs w:val="32"/>
        </w:rPr>
        <w:t>主要包括</w:t>
      </w:r>
      <w:r>
        <w:rPr>
          <w:rFonts w:hint="eastAsia" w:hAnsi="Times New Roman"/>
          <w:szCs w:val="32"/>
        </w:rPr>
        <w:t>探索问题“一站式”化解、强化供水“应急式”保障等措施。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ind w:firstLine="640" w:firstLineChars="200"/>
        <w:rPr>
          <w:szCs w:val="32"/>
        </w:rPr>
      </w:pPr>
      <w:r>
        <w:rPr>
          <w:rFonts w:eastAsia="楷体_GB2312" w:cs="楷体_GB2312"/>
          <w:bCs/>
          <w:szCs w:val="32"/>
        </w:rPr>
        <w:t>四是明确了要开展的</w:t>
      </w:r>
      <w:r>
        <w:rPr>
          <w:rFonts w:hint="eastAsia" w:eastAsia="楷体_GB2312" w:cs="楷体_GB2312"/>
          <w:bCs/>
          <w:szCs w:val="32"/>
        </w:rPr>
        <w:t>供水工程</w:t>
      </w:r>
      <w:r>
        <w:rPr>
          <w:rFonts w:eastAsia="楷体_GB2312" w:cs="楷体_GB2312"/>
          <w:bCs/>
          <w:szCs w:val="32"/>
        </w:rPr>
        <w:t>。</w:t>
      </w:r>
      <w:r>
        <w:rPr>
          <w:rFonts w:hint="eastAsia"/>
          <w:bCs/>
          <w:szCs w:val="32"/>
        </w:rPr>
        <w:t>主要包括</w:t>
      </w:r>
      <w:r>
        <w:rPr>
          <w:rFonts w:hint="eastAsia"/>
          <w:szCs w:val="32"/>
        </w:rPr>
        <w:t>优先实施管网延伸工程、逐步推进管网更新改造、持续加强水源稳定保障等措施。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ind w:firstLine="640" w:firstLineChars="200"/>
        <w:rPr>
          <w:rFonts w:hint="eastAsia"/>
          <w:bCs/>
          <w:szCs w:val="32"/>
        </w:rPr>
      </w:pPr>
      <w:r>
        <w:rPr>
          <w:rFonts w:eastAsia="楷体_GB2312" w:cs="楷体_GB2312"/>
          <w:szCs w:val="32"/>
        </w:rPr>
        <w:t>五是明确了县域管理的四方责任。</w:t>
      </w:r>
      <w:r>
        <w:rPr>
          <w:rFonts w:hint="eastAsia"/>
          <w:bCs/>
          <w:szCs w:val="32"/>
        </w:rPr>
        <w:t>主要包括</w:t>
      </w:r>
      <w:r>
        <w:rPr>
          <w:rFonts w:hint="eastAsia" w:hAnsi="Times New Roman"/>
          <w:bCs/>
          <w:szCs w:val="32"/>
        </w:rPr>
        <w:t>强化政府主体责任、落实部门工作责任、压实统管单位责任、健全镇村协同责任等措施。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ind w:firstLine="640" w:firstLineChars="200"/>
        <w:rPr>
          <w:rFonts w:ascii="黑体" w:hAnsi="黑体" w:eastAsia="黑体" w:cs="黑体"/>
        </w:rPr>
      </w:pPr>
      <w:r>
        <w:rPr>
          <w:rFonts w:ascii="黑体" w:hAnsi="黑体" w:eastAsia="黑体" w:cs="黑体"/>
        </w:rPr>
        <w:t>四、政策问答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ind w:firstLine="640" w:firstLineChars="200"/>
        <w:rPr>
          <w:rFonts w:eastAsia="楷体_GB2312"/>
          <w:szCs w:val="32"/>
        </w:rPr>
      </w:pPr>
      <w:r>
        <w:rPr>
          <w:rFonts w:hAnsi="黑体" w:eastAsia="楷体_GB2312" w:cs="楷体_GB2312"/>
          <w:szCs w:val="32"/>
        </w:rPr>
        <w:t>（一）文件适用范围</w:t>
      </w:r>
      <w:r>
        <w:rPr>
          <w:rFonts w:eastAsia="楷体"/>
          <w:szCs w:val="32"/>
        </w:rPr>
        <w:t>？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ind w:firstLine="640" w:firstLineChars="200"/>
        <w:rPr>
          <w:bCs/>
          <w:szCs w:val="32"/>
        </w:rPr>
      </w:pPr>
      <w:r>
        <w:rPr>
          <w:rFonts w:hint="eastAsia"/>
          <w:bCs/>
          <w:szCs w:val="32"/>
        </w:rPr>
        <w:t>答：绍兴全市域。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ind w:firstLine="640" w:firstLineChars="200"/>
        <w:rPr>
          <w:rFonts w:hint="eastAsia" w:hAnsi="黑体" w:eastAsia="楷体_GB2312" w:cs="楷体_GB2312"/>
          <w:bCs/>
          <w:szCs w:val="32"/>
        </w:rPr>
      </w:pPr>
      <w:r>
        <w:rPr>
          <w:rFonts w:hAnsi="黑体" w:eastAsia="楷体_GB2312" w:cs="楷体_GB2312"/>
          <w:szCs w:val="32"/>
          <w:lang w:val="en-US" w:eastAsia="zh-CN"/>
        </w:rPr>
        <w:t>（二）什么是农村供水？</w:t>
      </w:r>
    </w:p>
    <w:p>
      <w:pPr>
        <w:pStyle w:val="2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ind w:left="0" w:firstLine="640" w:firstLineChars="200"/>
        <w:rPr>
          <w:rFonts w:hint="eastAsia"/>
          <w:bCs/>
          <w:szCs w:val="32"/>
          <w:lang w:val="en-US" w:eastAsia="zh-CN"/>
        </w:rPr>
      </w:pPr>
      <w:r>
        <w:rPr>
          <w:bCs/>
          <w:szCs w:val="32"/>
          <w:lang w:val="en-US" w:eastAsia="zh-CN"/>
        </w:rPr>
        <w:t>答：按照《浙江省农村供水保障办法》，农村供水是指利用公共供水管道及其附属设施，为农村居民和单位提供生活、生产用水以及其他用水的活动，包括城市供水管网延伸供水，以及乡镇、联村、单村集中式供水。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ind w:firstLine="640" w:firstLineChars="200"/>
        <w:rPr>
          <w:rFonts w:hAnsi="黑体" w:eastAsia="楷体_GB2312" w:cs="楷体_GB2312"/>
          <w:szCs w:val="32"/>
        </w:rPr>
      </w:pPr>
      <w:r>
        <w:rPr>
          <w:rFonts w:hAnsi="黑体" w:eastAsia="楷体_GB2312" w:cs="楷体_GB2312"/>
          <w:szCs w:val="32"/>
        </w:rPr>
        <w:t>（三）如遇农村供水问题，有哪些反馈的途径？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ind w:firstLine="640" w:firstLineChars="200"/>
      </w:pPr>
      <w:r>
        <w:t>答：县级统管单位24小时服务热线、浙里办、12345热线等，县级统管单位24小时服务热线见下表。</w:t>
      </w:r>
    </w:p>
    <w:tbl>
      <w:tblPr>
        <w:tblStyle w:val="9"/>
        <w:tblW w:w="5174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0"/>
        <w:gridCol w:w="4696"/>
        <w:gridCol w:w="221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  <w:jc w:val="center"/>
        </w:trPr>
        <w:tc>
          <w:tcPr>
            <w:tcW w:w="11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黑体" w:hAnsi="黑体" w:eastAsia="黑体" w:cs="黑体"/>
                <w:i w:val="0"/>
                <w:color w:val="auto"/>
                <w:sz w:val="28"/>
                <w:szCs w:val="28"/>
              </w:rPr>
            </w:pPr>
            <w:r>
              <w:rPr>
                <w:rFonts w:ascii="黑体" w:hAnsi="黑体" w:eastAsia="黑体" w:cs="黑体"/>
                <w:i w:val="0"/>
                <w:color w:val="auto"/>
                <w:sz w:val="28"/>
                <w:szCs w:val="28"/>
              </w:rPr>
              <w:t>区、县（市）</w:t>
            </w:r>
          </w:p>
        </w:tc>
        <w:tc>
          <w:tcPr>
            <w:tcW w:w="261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i w:val="0"/>
                <w:color w:val="auto"/>
                <w:sz w:val="28"/>
                <w:szCs w:val="28"/>
              </w:rPr>
              <w:t>县级统管单位</w:t>
            </w:r>
          </w:p>
        </w:tc>
        <w:tc>
          <w:tcPr>
            <w:tcW w:w="127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i w:val="0"/>
                <w:color w:val="auto"/>
                <w:sz w:val="28"/>
                <w:szCs w:val="28"/>
              </w:rPr>
              <w:t>供水服务电话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  <w:jc w:val="center"/>
        </w:trPr>
        <w:tc>
          <w:tcPr>
            <w:tcW w:w="11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>
              <w:rPr>
                <w:b w:val="0"/>
                <w:i w:val="0"/>
                <w:color w:val="auto"/>
                <w:sz w:val="28"/>
                <w:szCs w:val="28"/>
              </w:rPr>
              <w:t>越城区</w:t>
            </w:r>
          </w:p>
        </w:tc>
        <w:tc>
          <w:tcPr>
            <w:tcW w:w="261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8"/>
                <w:szCs w:val="28"/>
              </w:rPr>
            </w:pPr>
            <w:r>
              <w:rPr>
                <w:b w:val="0"/>
                <w:i w:val="0"/>
                <w:color w:val="auto"/>
                <w:sz w:val="28"/>
                <w:szCs w:val="28"/>
              </w:rPr>
              <w:t>绍兴市水务产业有限公司</w:t>
            </w:r>
          </w:p>
        </w:tc>
        <w:tc>
          <w:tcPr>
            <w:tcW w:w="127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8"/>
                <w:szCs w:val="28"/>
              </w:rPr>
            </w:pPr>
            <w:r>
              <w:rPr>
                <w:b w:val="0"/>
                <w:i w:val="0"/>
                <w:color w:val="000000"/>
                <w:sz w:val="28"/>
                <w:szCs w:val="28"/>
              </w:rPr>
              <w:t>0575-85117474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  <w:jc w:val="center"/>
        </w:trPr>
        <w:tc>
          <w:tcPr>
            <w:tcW w:w="11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>
              <w:rPr>
                <w:b w:val="0"/>
                <w:i w:val="0"/>
                <w:color w:val="auto"/>
                <w:sz w:val="28"/>
                <w:szCs w:val="28"/>
              </w:rPr>
              <w:t>柯桥区</w:t>
            </w:r>
          </w:p>
        </w:tc>
        <w:tc>
          <w:tcPr>
            <w:tcW w:w="261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8"/>
                <w:szCs w:val="28"/>
              </w:rPr>
            </w:pPr>
            <w:r>
              <w:rPr>
                <w:b w:val="0"/>
                <w:i w:val="0"/>
                <w:color w:val="auto"/>
                <w:sz w:val="28"/>
                <w:szCs w:val="28"/>
              </w:rPr>
              <w:t>绍兴柯桥供水有限公司</w:t>
            </w:r>
          </w:p>
        </w:tc>
        <w:tc>
          <w:tcPr>
            <w:tcW w:w="127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8"/>
                <w:szCs w:val="28"/>
              </w:rPr>
            </w:pPr>
            <w:r>
              <w:rPr>
                <w:b w:val="0"/>
                <w:i w:val="0"/>
                <w:color w:val="000000"/>
                <w:sz w:val="28"/>
                <w:szCs w:val="28"/>
              </w:rPr>
              <w:t>0575-96390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  <w:jc w:val="center"/>
        </w:trPr>
        <w:tc>
          <w:tcPr>
            <w:tcW w:w="11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>
              <w:rPr>
                <w:b w:val="0"/>
                <w:i w:val="0"/>
                <w:color w:val="auto"/>
                <w:sz w:val="28"/>
                <w:szCs w:val="28"/>
              </w:rPr>
              <w:t>上虞区</w:t>
            </w:r>
          </w:p>
        </w:tc>
        <w:tc>
          <w:tcPr>
            <w:tcW w:w="261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8"/>
                <w:szCs w:val="28"/>
              </w:rPr>
            </w:pPr>
            <w:r>
              <w:rPr>
                <w:b w:val="0"/>
                <w:i w:val="0"/>
                <w:color w:val="auto"/>
                <w:sz w:val="28"/>
                <w:szCs w:val="28"/>
              </w:rPr>
              <w:t>绍兴市上虞区供水有限公司</w:t>
            </w:r>
          </w:p>
        </w:tc>
        <w:tc>
          <w:tcPr>
            <w:tcW w:w="127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8"/>
                <w:szCs w:val="28"/>
              </w:rPr>
            </w:pPr>
            <w:r>
              <w:rPr>
                <w:b w:val="0"/>
                <w:i w:val="0"/>
                <w:color w:val="000000"/>
                <w:sz w:val="28"/>
                <w:szCs w:val="28"/>
              </w:rPr>
              <w:t>0575-82964444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  <w:jc w:val="center"/>
        </w:trPr>
        <w:tc>
          <w:tcPr>
            <w:tcW w:w="11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>
              <w:rPr>
                <w:b w:val="0"/>
                <w:i w:val="0"/>
                <w:color w:val="auto"/>
                <w:sz w:val="28"/>
                <w:szCs w:val="28"/>
              </w:rPr>
              <w:t>诸暨市</w:t>
            </w:r>
          </w:p>
        </w:tc>
        <w:tc>
          <w:tcPr>
            <w:tcW w:w="261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8"/>
                <w:szCs w:val="28"/>
              </w:rPr>
            </w:pPr>
            <w:r>
              <w:rPr>
                <w:b w:val="0"/>
                <w:i w:val="0"/>
                <w:color w:val="auto"/>
                <w:sz w:val="28"/>
                <w:szCs w:val="28"/>
              </w:rPr>
              <w:t>诸暨市水务集团有限公司</w:t>
            </w:r>
          </w:p>
        </w:tc>
        <w:tc>
          <w:tcPr>
            <w:tcW w:w="127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8"/>
                <w:szCs w:val="28"/>
              </w:rPr>
            </w:pPr>
            <w:r>
              <w:rPr>
                <w:b w:val="0"/>
                <w:i w:val="0"/>
                <w:color w:val="000000"/>
                <w:sz w:val="28"/>
                <w:szCs w:val="28"/>
              </w:rPr>
              <w:t>0575-96390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  <w:jc w:val="center"/>
        </w:trPr>
        <w:tc>
          <w:tcPr>
            <w:tcW w:w="11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>
              <w:rPr>
                <w:b w:val="0"/>
                <w:i w:val="0"/>
                <w:color w:val="auto"/>
                <w:sz w:val="28"/>
                <w:szCs w:val="28"/>
              </w:rPr>
              <w:t>嵊州市</w:t>
            </w:r>
          </w:p>
        </w:tc>
        <w:tc>
          <w:tcPr>
            <w:tcW w:w="261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8"/>
                <w:szCs w:val="28"/>
              </w:rPr>
            </w:pPr>
            <w:r>
              <w:rPr>
                <w:b w:val="0"/>
                <w:i w:val="0"/>
                <w:color w:val="auto"/>
                <w:sz w:val="28"/>
                <w:szCs w:val="28"/>
              </w:rPr>
              <w:t>嵊州市水务集团有限公司</w:t>
            </w:r>
          </w:p>
        </w:tc>
        <w:tc>
          <w:tcPr>
            <w:tcW w:w="127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8"/>
                <w:szCs w:val="28"/>
              </w:rPr>
            </w:pPr>
            <w:r>
              <w:rPr>
                <w:b w:val="0"/>
                <w:i w:val="0"/>
                <w:color w:val="000000"/>
                <w:sz w:val="28"/>
                <w:szCs w:val="28"/>
              </w:rPr>
              <w:t>0575-83344444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  <w:jc w:val="center"/>
        </w:trPr>
        <w:tc>
          <w:tcPr>
            <w:tcW w:w="11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>
              <w:rPr>
                <w:b w:val="0"/>
                <w:i w:val="0"/>
                <w:color w:val="auto"/>
                <w:sz w:val="28"/>
                <w:szCs w:val="28"/>
              </w:rPr>
              <w:t>新昌县</w:t>
            </w:r>
          </w:p>
        </w:tc>
        <w:tc>
          <w:tcPr>
            <w:tcW w:w="261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8"/>
                <w:szCs w:val="28"/>
              </w:rPr>
            </w:pPr>
            <w:r>
              <w:rPr>
                <w:b w:val="0"/>
                <w:i w:val="0"/>
                <w:color w:val="auto"/>
                <w:sz w:val="28"/>
                <w:szCs w:val="28"/>
              </w:rPr>
              <w:t>新昌县农林水投资发展集团有限公司</w:t>
            </w:r>
          </w:p>
        </w:tc>
        <w:tc>
          <w:tcPr>
            <w:tcW w:w="127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8"/>
                <w:szCs w:val="28"/>
              </w:rPr>
            </w:pPr>
            <w:r>
              <w:rPr>
                <w:b w:val="0"/>
                <w:i w:val="0"/>
                <w:color w:val="000000"/>
                <w:sz w:val="28"/>
                <w:szCs w:val="28"/>
              </w:rPr>
              <w:t>0575-86024444</w:t>
            </w:r>
          </w:p>
        </w:tc>
      </w:tr>
    </w:tbl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ind w:firstLine="640" w:firstLineChars="200"/>
        <w:rPr>
          <w:rFonts w:hAnsi="黑体" w:eastAsia="楷体_GB2312" w:cs="楷体_GB2312"/>
          <w:szCs w:val="32"/>
        </w:rPr>
      </w:pPr>
      <w:r>
        <w:rPr>
          <w:rFonts w:hAnsi="黑体" w:eastAsia="楷体_GB2312" w:cs="楷体_GB2312"/>
          <w:szCs w:val="32"/>
        </w:rPr>
        <w:t>（四）农村供水水费缴费途径有哪些？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adjustRightInd/>
        <w:snapToGrid/>
        <w:spacing w:line="580" w:lineRule="exact"/>
        <w:ind w:left="0" w:firstLine="640" w:firstLineChars="200"/>
        <w:rPr>
          <w:rFonts w:hint="eastAsia" w:ascii="仿宋_GB2312" w:cs="仿宋_GB2312"/>
          <w:szCs w:val="32"/>
        </w:rPr>
      </w:pPr>
      <w:r>
        <w:rPr>
          <w:rFonts w:ascii="仿宋_GB2312" w:eastAsia="仿宋_GB2312" w:cs="仿宋_GB2312"/>
          <w:sz w:val="32"/>
          <w:szCs w:val="32"/>
          <w:lang w:val="en-US" w:eastAsia="zh-CN" w:bidi="ar-SA"/>
        </w:rPr>
        <w:t>答：</w:t>
      </w:r>
      <w:r>
        <w:rPr>
          <w:rFonts w:hint="eastAsia" w:ascii="仿宋_GB2312" w:eastAsia="仿宋_GB2312" w:cs="仿宋_GB2312"/>
          <w:sz w:val="32"/>
          <w:szCs w:val="32"/>
          <w:lang w:val="en-US" w:eastAsia="zh-CN" w:bidi="ar-SA"/>
        </w:rPr>
        <w:t>线上可通过微信、支付宝</w:t>
      </w:r>
      <w:r>
        <w:rPr>
          <w:rFonts w:ascii="仿宋_GB2312" w:eastAsia="仿宋_GB2312" w:cs="仿宋_GB2312"/>
          <w:sz w:val="32"/>
          <w:szCs w:val="32"/>
          <w:lang w:val="en-US" w:eastAsia="zh-CN" w:bidi="ar-SA"/>
        </w:rPr>
        <w:t>等移动支付方式进行</w:t>
      </w:r>
      <w:r>
        <w:rPr>
          <w:rFonts w:hint="eastAsia" w:ascii="仿宋_GB2312" w:eastAsia="仿宋_GB2312" w:cs="仿宋_GB2312"/>
          <w:sz w:val="32"/>
          <w:szCs w:val="32"/>
          <w:lang w:val="en-US" w:eastAsia="zh-CN" w:bidi="ar-SA"/>
        </w:rPr>
        <w:t>缴纳，也可通过银行</w:t>
      </w:r>
      <w:r>
        <w:rPr>
          <w:rFonts w:ascii="仿宋_GB2312" w:eastAsia="仿宋_GB2312" w:cs="仿宋_GB2312"/>
          <w:sz w:val="32"/>
          <w:szCs w:val="32"/>
          <w:lang w:val="en-US" w:eastAsia="zh-CN" w:bidi="ar-SA"/>
        </w:rPr>
        <w:t>等</w:t>
      </w:r>
      <w:r>
        <w:rPr>
          <w:rFonts w:hint="eastAsia" w:ascii="仿宋_GB2312" w:eastAsia="仿宋_GB2312" w:cs="仿宋_GB2312"/>
          <w:sz w:val="32"/>
          <w:szCs w:val="32"/>
          <w:lang w:val="en-US" w:eastAsia="zh-CN" w:bidi="ar-SA"/>
        </w:rPr>
        <w:t>办理水费代扣；线下</w:t>
      </w:r>
      <w:r>
        <w:rPr>
          <w:rFonts w:ascii="仿宋_GB2312" w:eastAsia="仿宋_GB2312" w:cs="仿宋_GB2312"/>
          <w:sz w:val="32"/>
          <w:szCs w:val="32"/>
          <w:lang w:val="en-US" w:eastAsia="zh-CN" w:bidi="ar-SA"/>
        </w:rPr>
        <w:t>可通过村级</w:t>
      </w:r>
      <w:r>
        <w:rPr>
          <w:rFonts w:hint="eastAsia" w:ascii="仿宋_GB2312" w:eastAsia="仿宋_GB2312" w:cs="仿宋_GB2312"/>
          <w:sz w:val="32"/>
          <w:szCs w:val="32"/>
          <w:lang w:val="en-US" w:eastAsia="zh-CN" w:bidi="ar-SA"/>
        </w:rPr>
        <w:t>服务点</w:t>
      </w:r>
      <w:r>
        <w:rPr>
          <w:rFonts w:ascii="仿宋_GB2312" w:eastAsia="仿宋_GB2312" w:cs="仿宋_GB2312"/>
          <w:sz w:val="32"/>
          <w:szCs w:val="32"/>
          <w:lang w:val="en-US" w:eastAsia="zh-CN" w:bidi="ar-SA"/>
        </w:rPr>
        <w:t>等方式</w:t>
      </w:r>
      <w:r>
        <w:rPr>
          <w:rFonts w:hint="eastAsia" w:ascii="仿宋_GB2312" w:eastAsia="仿宋_GB2312" w:cs="仿宋_GB2312"/>
          <w:sz w:val="32"/>
          <w:szCs w:val="32"/>
          <w:lang w:val="en-US" w:eastAsia="zh-CN" w:bidi="ar-SA"/>
        </w:rPr>
        <w:t>缴纳。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ind w:firstLine="640" w:firstLineChars="200"/>
        <w:rPr>
          <w:rFonts w:ascii="黑体" w:hAnsi="黑体" w:eastAsia="黑体" w:cs="黑体"/>
        </w:rPr>
      </w:pPr>
      <w:r>
        <w:rPr>
          <w:rFonts w:ascii="黑体" w:hAnsi="黑体" w:eastAsia="黑体" w:cs="黑体"/>
        </w:rPr>
        <w:t>五</w:t>
      </w:r>
      <w:r>
        <w:rPr>
          <w:rFonts w:hint="eastAsia" w:ascii="黑体" w:hAnsi="黑体" w:eastAsia="黑体" w:cs="黑体"/>
        </w:rPr>
        <w:t>、</w:t>
      </w:r>
      <w:r>
        <w:rPr>
          <w:rFonts w:ascii="黑体" w:hAnsi="黑体" w:eastAsia="黑体" w:cs="黑体"/>
        </w:rPr>
        <w:t>施行时间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ind w:firstLine="640" w:firstLineChars="200"/>
        <w:rPr>
          <w:rFonts w:hAnsi="黑体"/>
          <w:color w:val="auto"/>
        </w:rPr>
      </w:pPr>
      <w:r>
        <w:rPr>
          <w:rFonts w:hint="eastAsia" w:hAnsi="黑体"/>
          <w:lang w:eastAsia="zh-CN"/>
        </w:rPr>
        <w:t>为贯彻落实印发和施行在先的省政府办公厅文件，</w:t>
      </w:r>
      <w:bookmarkStart w:id="0" w:name="_GoBack"/>
      <w:bookmarkEnd w:id="0"/>
      <w:r>
        <w:rPr>
          <w:rFonts w:hint="eastAsia" w:hAnsi="黑体"/>
          <w:lang w:eastAsia="zh-CN"/>
        </w:rPr>
        <w:t>《实施方</w:t>
      </w:r>
      <w:r>
        <w:rPr>
          <w:rFonts w:hint="eastAsia" w:hAnsi="黑体"/>
          <w:color w:val="auto"/>
          <w:lang w:eastAsia="zh-CN"/>
        </w:rPr>
        <w:t>案》</w:t>
      </w:r>
      <w:r>
        <w:rPr>
          <w:rFonts w:hAnsi="黑体"/>
          <w:color w:val="auto"/>
          <w:lang w:eastAsia="zh-CN"/>
        </w:rPr>
        <w:t>自公布之日起施行</w:t>
      </w:r>
      <w:r>
        <w:rPr>
          <w:rFonts w:hAnsi="黑体"/>
          <w:color w:val="auto"/>
        </w:rPr>
        <w:t>。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ind w:firstLine="640" w:firstLineChars="200"/>
        <w:rPr>
          <w:rFonts w:hint="eastAsia" w:ascii="黑体" w:hAnsi="黑体" w:eastAsia="黑体" w:cs="黑体"/>
        </w:rPr>
      </w:pPr>
      <w:r>
        <w:rPr>
          <w:rFonts w:ascii="黑体" w:hAnsi="黑体" w:eastAsia="黑体" w:cs="黑体"/>
        </w:rPr>
        <w:t>六、</w:t>
      </w:r>
      <w:r>
        <w:rPr>
          <w:rFonts w:hint="eastAsia" w:ascii="黑体" w:hAnsi="黑体" w:eastAsia="黑体" w:cs="黑体"/>
        </w:rPr>
        <w:t>解读机关、解读人及联系方式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ind w:firstLine="640" w:firstLineChars="200"/>
        <w:rPr>
          <w:rFonts w:hint="eastAsia"/>
        </w:rPr>
      </w:pPr>
      <w:r>
        <w:rPr>
          <w:rFonts w:hint="eastAsia"/>
        </w:rPr>
        <w:t>解读机关：</w:t>
      </w:r>
      <w:r>
        <w:t>绍兴市水利局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ind w:firstLine="640" w:firstLineChars="200"/>
        <w:rPr>
          <w:rFonts w:hint="eastAsia"/>
        </w:rPr>
      </w:pPr>
      <w:r>
        <w:rPr>
          <w:rFonts w:hint="eastAsia"/>
        </w:rPr>
        <w:t>解读人：</w:t>
      </w:r>
      <w:r>
        <w:t>盛林炳、赵春明</w:t>
      </w:r>
    </w:p>
    <w:p>
      <w:pPr>
        <w:ind w:firstLine="640" w:firstLineChars="200"/>
      </w:pPr>
      <w:r>
        <w:rPr>
          <w:rFonts w:hint="eastAsia"/>
        </w:rPr>
        <w:t>联系方式：</w:t>
      </w:r>
      <w:r>
        <w:t>0575-87523317</w:t>
      </w:r>
    </w:p>
    <w:sectPr>
      <w:pgSz w:w="11907" w:h="16839"/>
      <w:pgMar w:top="1440" w:right="1800" w:bottom="1440" w:left="1800" w:header="851" w:footer="992" w:gutter="0"/>
      <w:cols w:space="720" w:num="1"/>
      <w:docGrid w:type="lines" w:linePitch="43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Lucida Sans">
    <w:altName w:val="Noto Naskh Arabic"/>
    <w:panose1 w:val="020B0602030504020204"/>
    <w:charset w:val="00"/>
    <w:family w:val="auto"/>
    <w:pitch w:val="default"/>
    <w:sig w:usb0="00000000" w:usb1="00000000" w:usb2="00000000" w:usb3="00000000" w:csb0="20000001" w:csb1="00000000"/>
  </w:font>
  <w:font w:name="Noto Naskh Arabic">
    <w:panose1 w:val="020B0502040504020204"/>
    <w:charset w:val="00"/>
    <w:family w:val="auto"/>
    <w:pitch w:val="default"/>
    <w:sig w:usb0="00002000" w:usb1="80000000" w:usb2="00000008" w:usb3="00000000" w:csb0="00000041" w:csb1="000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documentProtection w:edit="readOnly" w:enforcement="0"/>
  <w:defaultTabStop w:val="420"/>
  <w:drawingGridHorizontalSpacing w:val="160"/>
  <w:drawingGridVerticalSpacing w:val="217"/>
  <w:displayHorizontalDrawingGridEvery w:val="0"/>
  <w:displayVerticalDrawingGridEvery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ulTrailSpace/>
    <w:doNotExpandShiftReturn/>
    <w:adjustLineHeightInTable/>
    <w:useFELayout/>
    <w:useAltKinsokuLineBreakRules/>
    <w:compatSetting w:name="compatibilityMode" w:uri="http://schemas.microsoft.com/office/word" w:val="15"/>
  </w:compat>
  <w:rsids>
    <w:rsidRoot w:val="00000000"/>
    <w:rsid w:val="377B77B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Lucida Sans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60" w:lineRule="atLeast"/>
      <w:ind w:firstLine="200" w:firstLineChars="20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1"/>
    </w:pPr>
    <w:rPr>
      <w:rFonts w:ascii="Times New Roman" w:hAnsi="Times New Roman" w:eastAsia="黑体"/>
      <w:b/>
      <w:bCs/>
      <w:sz w:val="32"/>
      <w:szCs w:val="32"/>
    </w:rPr>
  </w:style>
  <w:style w:type="paragraph" w:styleId="5">
    <w:name w:val="heading 3"/>
    <w:basedOn w:val="1"/>
    <w:next w:val="1"/>
    <w:uiPriority w:val="0"/>
    <w:pPr>
      <w:keepNext/>
      <w:keepLines/>
      <w:widowControl w:val="0"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5"/>
    <w:basedOn w:val="1"/>
    <w:next w:val="1"/>
    <w:uiPriority w:val="0"/>
    <w:pPr>
      <w:ind w:left="1680"/>
    </w:pPr>
  </w:style>
  <w:style w:type="paragraph" w:styleId="6">
    <w:name w:val="footer"/>
    <w:basedOn w:val="1"/>
    <w:uiPriority w:val="0"/>
    <w:pPr>
      <w:tabs>
        <w:tab w:val="center" w:pos="4153"/>
        <w:tab w:val="right" w:pos="8307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7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iPriority w:val="0"/>
    <w:rPr>
      <w:sz w:val="24"/>
      <w:szCs w:val="24"/>
    </w:rPr>
  </w:style>
  <w:style w:type="character" w:styleId="11">
    <w:name w:val="Strong"/>
    <w:basedOn w:val="10"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3</Pages>
  <Words>0</Words>
  <Characters>1036</Characters>
  <Lines>0</Lines>
  <Paragraphs>31</Paragraphs>
  <TotalTime>2</TotalTime>
  <ScaleCrop>false</ScaleCrop>
  <LinksUpToDate>false</LinksUpToDate>
  <CharactersWithSpaces>1382</CharactersWithSpaces>
  <Application>WPS Office_11.8.2.12019_F1E327BC-269C-435d-A152-05C5408002CA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2021-07-10T01:38:00Z</dcterms:created>
  <dc:creator>Cynthia</dc:creator>
  <cp:lastModifiedBy>user</cp:lastModifiedBy>
  <dcterms:modified xsi:type="dcterms:W3CDTF">2026-05-29T13:54:23Z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2052-11.8.2.12019</vt:lpwstr>
  </property>
  <property fmtid="{D5CDD505-2E9C-101B-9397-08002B2CF9AE}" pid="3" name="ICV">
    <vt:lpwstr>EE802E21C459DD0C29A8166A79ACFD7C</vt:lpwstr>
  </property>
</Properties>
</file>